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400"/>
      </w:pPr>
      <w:r>
        <w:t xml:space="preserve"/>
      </w:r>
    </w:p>
    <w:p>
      <w:pPr>
        <w:spacing w:after="100"/>
        <w:jc w:val="center"/>
      </w:pPr>
      <w:r>
        <w:rPr>
          <w:rFonts w:ascii="Arial" w:cs="Arial" w:eastAsia="Arial" w:hAnsi="Arial"/>
          <w:b/>
          <w:bCs/>
          <w:color w:val="1F4E78"/>
          <w:sz w:val="50"/>
          <w:szCs w:val="50"/>
        </w:rPr>
        <w:t xml:space="preserve">UNIVERSAL</w:t>
      </w:r>
    </w:p>
    <w:p>
      <w:pPr>
        <w:spacing w:after="100"/>
        <w:jc w:val="center"/>
      </w:pPr>
      <w:r>
        <w:rPr>
          <w:rFonts w:ascii="Arial" w:cs="Arial" w:eastAsia="Arial" w:hAnsi="Arial"/>
          <w:b/>
          <w:bCs/>
          <w:color w:val="1F4E78"/>
          <w:sz w:val="50"/>
          <w:szCs w:val="50"/>
        </w:rPr>
        <w:t xml:space="preserve">MENTAL HEALTH</w:t>
      </w:r>
    </w:p>
    <w:p>
      <w:pPr>
        <w:spacing w:after="200"/>
        <w:jc w:val="center"/>
      </w:pPr>
      <w:r>
        <w:rPr>
          <w:rFonts w:ascii="Arial" w:cs="Arial" w:eastAsia="Arial" w:hAnsi="Arial"/>
          <w:b/>
          <w:bCs/>
          <w:color w:val="1F4E78"/>
          <w:sz w:val="50"/>
          <w:szCs w:val="50"/>
        </w:rPr>
        <w:t xml:space="preserve">ACCESS</w:t>
      </w:r>
    </w:p>
    <w:p>
      <w:pPr>
        <w:spacing w:after="200"/>
        <w:jc w:val="center"/>
      </w:pPr>
      <w:r>
        <w:rPr>
          <w:rFonts w:ascii="Arial" w:cs="Arial" w:eastAsia="Arial" w:hAnsi="Arial"/>
          <w:i/>
          <w:iCs/>
          <w:color w:val="C00000"/>
          <w:sz w:val="24"/>
          <w:szCs w:val="24"/>
        </w:rPr>
        <w:t xml:space="preserve">Substantiation: Workforce, Telehealth, Geography, and Enforcement</w:t>
      </w:r>
    </w:p>
    <w:p>
      <w:pPr>
        <w:pBdr>
          <w:bottom w:val="single" w:color="1F4E78" w:sz="18"/>
        </w:pBdr>
        <w:spacing w:after="600"/>
        <w:jc w:val="center"/>
      </w:pPr>
      <w:r>
        <w:t xml:space="preserve"/>
      </w:r>
    </w:p>
    <w:p>
      <w:pPr>
        <w:spacing w:after="200"/>
        <w:jc w:val="center"/>
      </w:pPr>
      <w:r>
        <w:rPr>
          <w:rFonts w:ascii="Georgia" w:cs="Georgia" w:eastAsia="Georgia" w:hAnsi="Georgia"/>
          <w:i/>
          <w:iCs/>
          <w:color w:val="1A1A1A"/>
          <w:sz w:val="24"/>
          <w:szCs w:val="24"/>
        </w:rPr>
        <w:t>How the platform delivers Universal Mental Health access</w:t>
      </w:r>
    </w:p>
    <w:p>
      <w:pPr>
        <w:spacing w:after="200"/>
        <w:jc w:val="center"/>
      </w:pPr>
      <w:r>
        <w:rPr>
          <w:rFonts w:ascii="Georgia" w:cs="Georgia" w:eastAsia="Georgia" w:hAnsi="Georgia"/>
          <w:i/>
          <w:iCs/>
          <w:color w:val="1A1A1A"/>
          <w:sz w:val="24"/>
          <w:szCs w:val="24"/>
        </w:rPr>
        <w:t xml:space="preserve">given that the psychiatrist workforce gap cannot be closed</w:t>
      </w:r>
    </w:p>
    <w:p>
      <w:pPr>
        <w:spacing w:after="1200"/>
        <w:jc w:val="center"/>
      </w:pPr>
      <w:r>
        <w:rPr>
          <w:rFonts w:ascii="Georgia" w:cs="Georgia" w:eastAsia="Georgia" w:hAnsi="Georgia"/>
          <w:i/>
          <w:iCs/>
          <w:color w:val="1A1A1A"/>
          <w:sz w:val="24"/>
          <w:szCs w:val="24"/>
        </w:rPr>
        <w:t xml:space="preserve">through training pipeline expansion alone.</w:t>
      </w:r>
    </w:p>
    <w:p>
      <w:pPr>
        <w:spacing w:before="1200"/>
      </w:pPr>
      <w:r>
        <w:t xml:space="preserve"/>
      </w:r>
    </w:p>
    <w:p>
      <w:pPr>
        <w:spacing w:after="80"/>
        <w:jc w:val="center"/>
      </w:pPr>
      <w:r>
        <w:rPr>
          <w:rFonts w:ascii="Georgia" w:cs="Georgia" w:eastAsia="Georgia" w:hAnsi="Georgia"/>
          <w:i/>
          <w:iCs/>
          <w:color w:val="595959"/>
          <w:sz w:val="22"/>
          <w:szCs w:val="22"/>
        </w:rPr>
        <w:t xml:space="preserve">An Analytical Framing Document</w:t>
      </w:r>
    </w:p>
    <w:p>
      <w:pPr>
        <w:spacing w:after="80"/>
        <w:jc w:val="center"/>
      </w:pPr>
      <w:r>
        <w:rPr>
          <w:rFonts w:ascii="Georgia" w:cs="Georgia" w:eastAsia="Georgia" w:hAnsi="Georgia"/>
          <w:b/>
          <w:bCs/>
          <w:color w:val="1A1A1A"/>
          <w:sz w:val="24"/>
          <w:szCs w:val="24"/>
        </w:rPr>
        <w:t xml:space="preserve">Jason Robertson</w:t>
      </w:r>
    </w:p>
    <w:p>
      <w:pPr>
        <w:spacing w:before="480"/>
        <w:jc w:val="center"/>
      </w:pPr>
      <w:r>
        <w:rPr>
          <w:rFonts w:ascii="Arial" w:cs="Arial" w:eastAsia="Arial" w:hAnsi="Arial"/>
          <w:i/>
          <w:iCs/>
          <w:color w:val="595959"/>
          <w:sz w:val="16"/>
          <w:szCs w:val="16"/>
        </w:rPr>
        <w:t xml:space="preserve">v1.0  ·  Created May 4, 2026  ·  Updated May 4, 2026</w:t>
      </w:r>
    </w:p>
    <w:p>
      <w:pPr>
        <w:jc w:val="center"/>
      </w:pPr>
      <w:r>
        <w:rPr>
          <w:rFonts w:ascii="Georgia" w:cs="Georgia" w:eastAsia="Georgia" w:hAnsi="Georgia"/>
          <w:color w:val="595959"/>
          <w:sz w:val="20"/>
          <w:szCs w:val="20"/>
        </w:rPr>
        <w:t xml:space="preserve">Ohio  ·  2026</w:t>
      </w:r>
    </w:p>
    <w:p>
      <w:r>
        <w:br w:type="page"/>
      </w:r>
    </w:p>
    <w:p>
      <w:pPr>
        <w:pStyle w:val="Heading1"/>
        <w:spacing w:after="240" w:before="480"/>
      </w:pPr>
      <w:r>
        <w:rPr>
          <w:rFonts w:ascii="Arial" w:cs="Arial" w:eastAsia="Arial" w:hAnsi="Arial"/>
          <w:b/>
          <w:bCs/>
          <w:color w:val="1F4E78"/>
          <w:sz w:val="36"/>
          <w:szCs w:val="36"/>
        </w:rPr>
        <w:t xml:space="preserve">The Problem This Document Addresses</w:t>
      </w:r>
    </w:p>
    <w:p>
      <w:pPr>
        <w:spacing w:after="240" w:line="340"/>
        <w:jc w:val="both"/>
      </w:pPr>
      <w:r>
        <w:rPr>
          <w:rFonts w:ascii="Georgia" w:cs="Georgia" w:eastAsia="Georgia" w:hAnsi="Georgia"/>
          <w:color w:val="1A1A1A"/>
          <w:sz w:val="24"/>
          <w:szCs w:val="24"/>
        </w:rPr>
        <w:t xml:space="preserve">The Universal Mental Health Access pillar appeared in earlier platform versions as a concept-level commitment with a basic mathematical model. The model demonstrated that universal access at 40% utilization is fiscally viable: program costs of approximately $130-150B annually, funded by a 0.5% employer + 0.3% employee payroll contribution producing $104B, combined with continued $104B in existing federal mental health spending, leaves the system with a small surplus. The math worked. The substantive question was deeper: even if money is available, can the platform actually deliver universal access given the workforce constraint?</w:t>
      </w:r>
    </w:p>
    <w:p>
      <w:pPr>
        <w:pStyle w:val="Heading2"/>
        <w:spacing w:after="160" w:before="360"/>
      </w:pPr>
      <w:r>
        <w:rPr>
          <w:rFonts w:ascii="Arial" w:cs="Arial" w:eastAsia="Arial" w:hAnsi="Arial"/>
          <w:b/>
          <w:bCs/>
          <w:color w:val="1F4E78"/>
          <w:sz w:val="28"/>
          <w:szCs w:val="28"/>
        </w:rPr>
        <w:t xml:space="preserve">Why This Substantiation Comes First Among Concept-Level Pillars</w:t>
      </w:r>
    </w:p>
    <w:p>
      <w:pPr>
        <w:spacing w:after="200" w:line="320"/>
        <w:jc w:val="both"/>
      </w:pPr>
      <w:r>
        <w:rPr>
          <w:rFonts w:ascii="Georgia" w:cs="Georgia" w:eastAsia="Georgia" w:hAnsi="Georgia"/>
          <w:color w:val="1A1A1A"/>
          <w:sz w:val="22"/>
          <w:szCs w:val="22"/>
        </w:rPr>
        <w:t xml:space="preserve">The platform has three concept-level pillars (Universal Mental Health Access, Civic Infrastructure, Future Capacity Fund) and one meta-pillar (Proof-of-Concept Fund). Mental health is the right one to substantiate first for several reasons. The current crisis is acute: approximately 60 million American adults have any mental illness annually, of whom roughly 30 million go untreated. The federal government already spends $104B annually on mental health through Medicare, Medicaid, VA, and SAMHSA, providing existing infrastructure to build on. The pillar has an existing mathematical model rather than requiring construction from scratch. And the workforce constraint, while real, has known mitigations that this document articulates.</w:t>
      </w:r>
    </w:p>
    <w:p>
      <w:pPr>
        <w:spacing w:after="200" w:line="320"/>
        <w:jc w:val="both"/>
      </w:pPr>
      <w:r>
        <w:rPr>
          <w:rFonts w:ascii="Georgia" w:cs="Georgia" w:eastAsia="Georgia" w:hAnsi="Georgia"/>
          <w:color w:val="1A1A1A"/>
          <w:sz w:val="22"/>
          <w:szCs w:val="22"/>
        </w:rPr>
        <w:t xml:space="preserve">Civic Infrastructure and Future Capacity Fund are more conceptual; they would require construction from concept to model rather than expansion of an existing model. They warrant subsequent attention. The Proof-of-Concept Fund is a meta-pillar whose substantiation depends on having other pillars to pilot, making it most productively addressed after the others reach analytical maturity.</w:t>
      </w:r>
    </w:p>
    <w:p>
      <w:pPr>
        <w:pStyle w:val="Heading2"/>
        <w:spacing w:after="160" w:before="360"/>
      </w:pPr>
      <w:r>
        <w:rPr>
          <w:rFonts w:ascii="Arial" w:cs="Arial" w:eastAsia="Arial" w:hAnsi="Arial"/>
          <w:b/>
          <w:bCs/>
          <w:color w:val="1F4E78"/>
          <w:sz w:val="28"/>
          <w:szCs w:val="28"/>
        </w:rPr>
        <w:t xml:space="preserve">What This Document Does</w:t>
      </w:r>
    </w:p>
    <w:p>
      <w:pPr>
        <w:spacing w:after="200" w:line="320"/>
        <w:jc w:val="both"/>
      </w:pPr>
      <w:r>
        <w:rPr>
          <w:rFonts w:ascii="Georgia" w:cs="Georgia" w:eastAsia="Georgia" w:hAnsi="Georgia"/>
          <w:color w:val="1A1A1A"/>
          <w:sz w:val="22"/>
          <w:szCs w:val="22"/>
        </w:rPr>
        <w:t>This document substantiates the Universal Mental Health Access pillar with the depth that the universal healthcare Model and universal childcare Model achieved during prior platform development. The work parallels what was done for childcare and healthcare in v2.0 of the platform: starting from an existing model, identifying where depth was missing, building substantive analysis to fill those gaps, and producing a framing document that explains the substantiation work and acknowledges what remains unresolved.</w:t>
      </w:r>
    </w:p>
    <w:p>
      <w:pPr>
        <w:spacing w:after="200" w:line="320"/>
        <w:jc w:val="both"/>
      </w:pPr>
      <w:r>
        <w:rPr>
          <w:rFonts w:ascii="Georgia" w:cs="Georgia" w:eastAsia="Georgia" w:hAnsi="Georgia"/>
          <w:color w:val="1A1A1A"/>
          <w:sz w:val="22"/>
          <w:szCs w:val="22"/>
        </w:rPr>
        <w:t xml:space="preserve">Six areas receive substantive treatment: service category differentiation, workforce expansion mathematics, telehealth integration as capacity multiplier, geographic distribution analysis, parity enforcement mechanisms, and collaborative care integration. Each is articulated with enough specificity to be evaluated and refined by mental health policy specialists, clinicians, and the various stakeholders the actual implementation would require.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original mental health model demonstrated fiscal viability. This substantiation document demonstrates operational feasibility — specifically, how the platform delivers universal access given that the psychiatrist workforce gap cannot be closed through training alone in any reasonable timeframe.”</w:t>
            </w:r>
          </w:p>
        </w:tc>
      </w:tr>
    </w:tbl>
    <w:p>
      <w:r>
        <w:br w:type="page"/>
      </w:r>
    </w:p>
    <w:p>
      <w:pPr>
        <w:pStyle w:val="Heading1"/>
        <w:spacing w:after="240" w:before="480"/>
      </w:pPr>
      <w:r>
        <w:rPr>
          <w:rFonts w:ascii="Arial" w:cs="Arial" w:eastAsia="Arial" w:hAnsi="Arial"/>
          <w:b/>
          <w:bCs/>
          <w:color w:val="1F4E78"/>
          <w:sz w:val="36"/>
          <w:szCs w:val="36"/>
        </w:rPr>
        <w:t xml:space="preserve">Service Category Differentiation</w:t>
      </w:r>
    </w:p>
    <w:p>
      <w:pPr>
        <w:spacing w:after="240" w:line="340"/>
        <w:jc w:val="both"/>
      </w:pPr>
      <w:r>
        <w:rPr>
          <w:rFonts w:ascii="Georgia" w:cs="Georgia" w:eastAsia="Georgia" w:hAnsi="Georgia"/>
          <w:color w:val="1A1A1A"/>
          <w:sz w:val="24"/>
          <w:szCs w:val="24"/>
        </w:rPr>
        <w:t xml:space="preserve">The original mental health model treated all visits as a single average $150 cost. The model substantiation breaks this down into six service categories with substantially different costs, volumes, provider requirements, and visit frequencies. The differentiation matters because workforce planning, telehealth integration, and parity enforcement all depend on understanding what kind of service is being delivered, not just how many visits are happening.</w:t>
      </w:r>
    </w:p>
    <w:p>
      <w:pPr>
        <w:pStyle w:val="Heading2"/>
        <w:spacing w:after="160" w:before="360"/>
      </w:pPr>
      <w:r>
        <w:rPr>
          <w:rFonts w:ascii="Arial" w:cs="Arial" w:eastAsia="Arial" w:hAnsi="Arial"/>
          <w:b/>
          <w:bCs/>
          <w:color w:val="1F4E78"/>
          <w:sz w:val="28"/>
          <w:szCs w:val="28"/>
        </w:rPr>
        <w:t xml:space="preserve">The Six Service Categories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Service Category</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Cost/Visit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Visits/Yr</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Annual $/User</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 of Users</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Therapy (general)</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$1,040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Psychiatric medication mgmt</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$220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$880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Brief intervention/screening</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Crisis intervention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Intensive outpatient (IOP)</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36</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$10,080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Inpatient hospitalization</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 days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$12,600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w:t>
            </w:r>
          </w:p>
        </w:tc>
      </w:tr>
    </w:tbl>
    <w:p>
      <w:pPr>
        <w:spacing w:after="240"/>
      </w:pPr>
      <w:r>
        <w:t xml:space="preserve"/>
      </w:r>
    </w:p>
    <w:p>
      <w:pPr>
        <w:spacing w:after="200" w:line="320"/>
        <w:jc w:val="both"/>
      </w:pPr>
      <w:r>
        <w:rPr>
          <w:rFonts w:ascii="Georgia" w:cs="Georgia" w:eastAsia="Georgia" w:hAnsi="Georgia"/>
          <w:color w:val="1A1A1A"/>
          <w:sz w:val="22"/>
          <w:szCs w:val="22"/>
        </w:rPr>
        <w:t xml:space="preserve">Therapy and psychiatric medication management together account for 85% of users but represent very different service models. Therapy involves 50-minute sessions, often weekly or biweekly, delivered primarily by psychologists, clinical social workers, and licensed counselors. Medication management involves 15-30 minute appointments, less frequent (typically quarterly), delivered by psychiatrists or psychiatric nurse practitioners (PMHNPs). The provider workforce required for these two categories is fundamentally different, which is why the original simple model's averaging obscured the workforce planning question.</w:t>
      </w:r>
    </w:p>
    <w:p>
      <w:pPr>
        <w:spacing w:after="200" w:line="320"/>
        <w:jc w:val="both"/>
      </w:pPr>
      <w:r>
        <w:rPr>
          <w:rFonts w:ascii="Georgia" w:cs="Georgia" w:eastAsia="Georgia" w:hAnsi="Georgia"/>
          <w:color w:val="1A1A1A"/>
          <w:sz w:val="22"/>
          <w:szCs w:val="22"/>
        </w:rPr>
        <w:t xml:space="preserve">The remaining 15% of users distribute across brief screening (high volume, low intensity), crisis intervention (low volume, high intensity), intensive outpatient programs (low volume, high intensity over 6-week courses), and inpatient hospitalization (rare, very high intensity). Each has its own workforce, infrastructure, and reimbursement requirements. Together they account for approximately 25% of total program cost despite being only 15% of users, because per-user costs are much higher.</w:t>
      </w:r>
    </w:p>
    <w:p>
      <w:pPr>
        <w:pStyle w:val="Heading2"/>
        <w:spacing w:after="160" w:before="360"/>
      </w:pPr>
      <w:r>
        <w:rPr>
          <w:rFonts w:ascii="Arial" w:cs="Arial" w:eastAsia="Arial" w:hAnsi="Arial"/>
          <w:b/>
          <w:bCs/>
          <w:color w:val="1F4E78"/>
          <w:sz w:val="28"/>
          <w:szCs w:val="28"/>
        </w:rPr>
        <w:t xml:space="preserve">Volume at Universal Access</w:t>
      </w:r>
    </w:p>
    <w:p>
      <w:pPr>
        <w:spacing w:after="200" w:line="320"/>
        <w:jc w:val="both"/>
      </w:pPr>
      <w:r>
        <w:rPr>
          <w:rFonts w:ascii="Georgia" w:cs="Georgia" w:eastAsia="Georgia" w:hAnsi="Georgia"/>
          <w:color w:val="1A1A1A"/>
          <w:sz w:val="22"/>
          <w:szCs w:val="22"/>
        </w:rPr>
        <w:t xml:space="preserve">At 40% utilization of the 260M US adult population, universal access produces approximately 104 million users annually. The model expansion calculates total volume at this utilization level: approximately 657 million annual visits across all categories, with total program cost of $113 billion (close to the original simple model's headline but with substantially better understanding of where the costs come from).</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Service Category</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Users (M)</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Visits (M)</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Total Cost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Provider Hours (M)</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Therapy</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57.2</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457.6</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$59.5B</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457.6</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Psychiatric med mgmt</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31.2</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124.8</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$27.5B</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62.4</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Brief intervention</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10.4</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10.4</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$0.8B</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2.6</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Crisis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4.7</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$2.8B</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9.4</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IOP</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56.2</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$15.7B</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42.1</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Inpatient</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0.5</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3.6</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$6.6B</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Total</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104.0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657.3</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$112.8B</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579.5</w:t>
            </w:r>
          </w:p>
        </w:tc>
      </w:tr>
    </w:tbl>
    <w:p>
      <w:pPr>
        <w:spacing w:after="240"/>
      </w:pPr>
      <w:r>
        <w:t xml:space="preserve"/>
      </w:r>
    </w:p>
    <w:p>
      <w:pPr>
        <w:spacing w:after="200" w:line="320"/>
        <w:jc w:val="both"/>
      </w:pPr>
      <w:r>
        <w:rPr>
          <w:rFonts w:ascii="Georgia" w:cs="Georgia" w:eastAsia="Georgia" w:hAnsi="Georgia"/>
          <w:color w:val="1A1A1A"/>
          <w:sz w:val="22"/>
          <w:szCs w:val="22"/>
        </w:rPr>
        <w:t xml:space="preserve">The 580 million annual provider hours figure is the substantive number. Workforce planning and telehealth integration both must address whether the existing mental health workforce, augmented by buildout and telehealth multipliers, can deliver this volume.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“$112.8 billion in service delivery is the operational fiscal target. 580 million annual provider hours is the operational workforce target. The two are tied together — fund availability without workforce capacity produces only frustrated demand, while workforce capacity without funding produces uncompensated care.”</w:t>
            </w:r>
          </w:p>
        </w:tc>
      </w:tr>
    </w:tbl>
    <w:p>
      <w:r>
        <w:br w:type="page"/>
      </w:r>
    </w:p>
    <w:p>
      <w:pPr>
        <w:pStyle w:val="Heading1"/>
        <w:spacing w:after="240" w:before="480"/>
      </w:pPr>
      <w:r>
        <w:rPr>
          <w:rFonts w:ascii="Arial" w:cs="Arial" w:eastAsia="Arial" w:hAnsi="Arial"/>
          <w:b/>
          <w:bCs/>
          <w:color w:val="1F4E78"/>
          <w:sz w:val="36"/>
          <w:szCs w:val="36"/>
        </w:rPr>
        <w:t xml:space="preserve">Workforce Expansion: The Binding Constraint</w:t>
      </w:r>
    </w:p>
    <w:p>
      <w:pPr>
        <w:spacing w:after="240" w:line="340"/>
        <w:jc w:val="both"/>
      </w:pPr>
      <w:r>
        <w:rPr>
          <w:rFonts w:ascii="Georgia" w:cs="Georgia" w:eastAsia="Georgia" w:hAnsi="Georgia"/>
          <w:color w:val="1A1A1A"/>
          <w:sz w:val="24"/>
          <w:szCs w:val="24"/>
        </w:rPr>
        <w:t xml:space="preserve">The Universal Mental Health Access pillar's binding constraint is workforce, specifically the psychiatrist workforce. The model expansion makes this explicit: even maximum sustainable training pipeline expansion produces only about 1,140 net new psychiatrists per year. The gap between current count (28K) and required count (105K) is 77K. At training-pipeline rates alone, closing the gap takes 67+ years — longer than the platform's 60-year time horizon. This document articulates how the platform delivers universal access despite this fact.</w:t>
      </w:r>
    </w:p>
    <w:p>
      <w:pPr>
        <w:pStyle w:val="Heading2"/>
        <w:spacing w:after="160" w:before="360"/>
      </w:pPr>
      <w:r>
        <w:rPr>
          <w:rFonts w:ascii="Arial" w:cs="Arial" w:eastAsia="Arial" w:hAnsi="Arial"/>
          <w:b/>
          <w:bCs/>
          <w:color w:val="1F4E78"/>
          <w:sz w:val="28"/>
          <w:szCs w:val="28"/>
        </w:rPr>
        <w:t xml:space="preserve">Provider Workforce by Category</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Provider Type</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Current</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Required</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Net Add/Yr</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Years to Close Gap</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Psychiatrists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28,000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105,000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1,140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67.5 years</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 Nurse Pract</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18,000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35,000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3,140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5.4 years</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Psychologists (PhD)</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106,000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91,000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3,380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 (excess)</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Clinical Social Workers</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250,000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100,000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13,000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 (excess)</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Licensed Counselors</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350,000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77,000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5,500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 (excess)</w:t>
            </w:r>
          </w:p>
        </w:tc>
      </w:tr>
    </w:tbl>
    <w:p>
      <w:pPr>
        <w:spacing w:after="240"/>
      </w:pPr>
      <w:r>
        <w:t xml:space="preserve"/>
      </w:r>
    </w:p>
    <w:p>
      <w:pPr>
        <w:spacing w:after="200" w:line="320"/>
        <w:jc w:val="both"/>
      </w:pPr>
      <w:r>
        <w:rPr>
          <w:rFonts w:ascii="Georgia" w:cs="Georgia" w:eastAsia="Georgia" w:hAnsi="Georgia"/>
          <w:color w:val="1A1A1A"/>
          <w:sz w:val="22"/>
          <w:szCs w:val="22"/>
        </w:rPr>
        <w:t xml:space="preserve">The aggregate picture obscures the constraint. Total mental health workforce across all categories is approximately 752,000 — well above the approximately 408,000 required at universal access. The aggregate excess of 344,000 means total workforce numbers are not the binding constraint. The mismatch is in composition: psychiatrists are dramatically understaffed while psychologists, clinical social workers, and licensed counselors are present in numbers exceeding mental-health-specific requirements. Many of these excess providers are currently employed in non-clinical roles (administration, research, education) or in adjacent fields (school counseling, employee assistance programs) and would need to redirect to mental health specialty clinical practice.</w:t>
      </w:r>
    </w:p>
    <w:p>
      <w:pPr>
        <w:pStyle w:val="Heading2"/>
        <w:spacing w:after="160" w:before="360"/>
      </w:pPr>
      <w:r>
        <w:rPr>
          <w:rFonts w:ascii="Arial" w:cs="Arial" w:eastAsia="Arial" w:hAnsi="Arial"/>
          <w:b/>
          <w:bCs/>
          <w:color w:val="1F4E78"/>
          <w:sz w:val="28"/>
          <w:szCs w:val="28"/>
        </w:rPr>
        <w:t xml:space="preserve">Why the Psychiatrist Pipeline Cannot Be Accelerated Quickly</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Constraints on psychiatrist workforce expansion</w:t>
            </w:r>
          </w:p>
          <w:p>
            <w:pPr>
              <w:spacing w:after="100" w:line="280"/>
            </w:pPr>
            <w:r>
              <w:rPr>
                <w:rFonts w:ascii="Georgia" w:cs="Georgia" w:eastAsia="Georgia" w:hAnsi="Georgia"/>
                <w:color w:val="1A1A1A"/>
                <w:sz w:val="21"/>
                <w:szCs w:val="21"/>
              </w:rPr>
              <w:t xml:space="preserve">•  Psychiatry residency requires 4 years of post-medical-school training following 4 years of medical school. The pipeline from college freshman to practicing psychiatrist is 12 years.</w:t>
            </w:r>
          </w:p>
          <w:p>
            <w:pPr>
              <w:spacing w:after="100" w:line="280"/>
            </w:pPr>
            <w:r>
              <w:rPr>
                <w:rFonts w:ascii="Georgia" w:cs="Georgia" w:eastAsia="Georgia" w:hAnsi="Georgia"/>
                <w:color w:val="1A1A1A"/>
                <w:sz w:val="21"/>
                <w:szCs w:val="21"/>
              </w:rPr>
              <w:t xml:space="preserve">•  The annual production of new psychiatrists is constrained by the number of residency slots, which is itself capped by Centers for Medicare and Medicaid Services (CMS) graduate medical education funding.</w:t>
            </w:r>
          </w:p>
          <w:p>
            <w:pPr>
              <w:spacing w:after="100" w:line="280"/>
            </w:pPr>
            <w:r>
              <w:rPr>
                <w:rFonts w:ascii="Georgia" w:cs="Georgia" w:eastAsia="Georgia" w:hAnsi="Georgia"/>
                <w:color w:val="1A1A1A"/>
                <w:sz w:val="21"/>
                <w:szCs w:val="21"/>
              </w:rPr>
              <w:t xml:space="preserve">•  Expanding residency slots requires either Congressional action to lift the CMS cap or alternative funding sources for new programs.</w:t>
            </w:r>
          </w:p>
          <w:p>
            <w:pPr>
              <w:spacing w:after="100" w:line="280"/>
            </w:pPr>
            <w:r>
              <w:rPr>
                <w:rFonts w:ascii="Georgia" w:cs="Georgia" w:eastAsia="Georgia" w:hAnsi="Georgia"/>
                <w:color w:val="1A1A1A"/>
                <w:sz w:val="21"/>
                <w:szCs w:val="21"/>
              </w:rPr>
              <w:t xml:space="preserve">•  Even with unlimited funding, building new residency programs requires time: program accreditation, clinical placement infrastructure, faculty recruitment, and institutional buy-in collectively take 5-10 years.</w:t>
            </w:r>
          </w:p>
          <w:p>
            <w:pPr>
              <w:spacing w:after="100" w:line="280"/>
            </w:pPr>
            <w:r>
              <w:rPr>
                <w:rFonts w:ascii="Georgia" w:cs="Georgia" w:eastAsia="Georgia" w:hAnsi="Georgia"/>
                <w:color w:val="1A1A1A"/>
                <w:sz w:val="21"/>
                <w:szCs w:val="21"/>
              </w:rPr>
              <w:t xml:space="preserve">•  Psychiatric residency requires substantial clinical training infrastructure (inpatient psychiatric units, outpatient clinics, supervisory faculty) that doesn't exist in surplus form.</w:t>
            </w:r>
          </w:p>
          <w:p>
            <w:pPr>
              <w:spacing w:after="100" w:line="280"/>
            </w:pPr>
            <w:r>
              <w:rPr>
                <w:rFonts w:ascii="Georgia" w:cs="Georgia" w:eastAsia="Georgia" w:hAnsi="Georgia"/>
                <w:color w:val="1A1A1A"/>
                <w:sz w:val="21"/>
                <w:szCs w:val="21"/>
              </w:rPr>
              <w:t xml:space="preserve">•  International medical graduate (IMG) pathways exist but face credentialing barriers that limit the immediate impact of foreign-trained psychiatrists.</w:t>
            </w:r>
          </w:p>
        </w:tc>
      </w:tr>
    </w:tbl>
    <w:p>
      <w:pPr>
        <w:pStyle w:val="Heading2"/>
        <w:spacing w:after="160" w:before="360"/>
      </w:pPr>
      <w:r>
        <w:rPr>
          <w:rFonts w:ascii="Arial" w:cs="Arial" w:eastAsia="Arial" w:hAnsi="Arial"/>
          <w:b/>
          <w:bCs/>
          <w:color w:val="1F4E78"/>
          <w:sz w:val="28"/>
          <w:szCs w:val="28"/>
        </w:rPr>
        <w:t xml:space="preserve">The Three Workforce Mitigations</w:t>
      </w:r>
    </w:p>
    <w:p>
      <w:pPr>
        <w:spacing w:after="200" w:line="320"/>
        <w:jc w:val="both"/>
      </w:pPr>
      <w:r>
        <w:rPr>
          <w:rFonts w:ascii="Georgia" w:cs="Georgia" w:eastAsia="Georgia" w:hAnsi="Georgia"/>
          <w:color w:val="1A1A1A"/>
          <w:sz w:val="22"/>
          <w:szCs w:val="22"/>
        </w:rPr>
        <w:t>Given that the psychiatrist gap cannot be closed through training pipeline expansion alone, the platform relies on three specific mitigations. The first is psychiatric nurse practitioner (Psychiatric-Mental Health Nurse Practitioner (PMHNP)) expansion. The second is telehealth integration as capacity multiplier (covered in detail in the next section). The third is collaborative care integration with primary care (covered after telehealth).</w:t>
      </w:r>
    </w:p>
    <w:p>
      <w:pPr>
        <w:pStyle w:val="Heading3"/>
        <w:spacing w:after="120" w:before="240"/>
      </w:pPr>
      <w:r>
        <w:rPr>
          <w:rFonts w:ascii="Arial" w:cs="Arial" w:eastAsia="Arial" w:hAnsi="Arial"/>
          <w:b/>
          <w:bCs/>
          <w:color w:val="C00000"/>
          <w:sz w:val="22"/>
          <w:szCs w:val="22"/>
        </w:rPr>
        <w:t xml:space="preserve">Mitigation 1: PMHNP Expansion</w:t>
      </w:r>
    </w:p>
    <w:p>
      <w:pPr>
        <w:spacing w:after="200" w:line="320"/>
        <w:jc w:val="both"/>
      </w:pPr>
      <w:r>
        <w:rPr>
          <w:rFonts w:ascii="Georgia" w:cs="Georgia" w:eastAsia="Georgia" w:hAnsi="Georgia"/>
          <w:color w:val="1A1A1A"/>
          <w:sz w:val="22"/>
          <w:szCs w:val="22"/>
        </w:rPr>
        <w:t xml:space="preserve">Psychiatric Nurse Practitioners can prescribe psychiatric medications and provide medication management in 50 states (with varying degrees of supervisory requirement). PMHNP training is a 2-3 year master's or doctoral program following nursing licensure, dramatically shorter than psychiatry residency. Annual PMHNP graduation rates are growing rapidly (currently approximately 3,500 net new per year, more than triple the psychiatrist net addition rate). PMHNPs partially substitute for psychiatrists in routine medication management, which is the largest psychiatrist time sink. Expanding scope-of-practice in restrictive states and aligning reimbursement parity between psychiatrists and PMHNPs for equivalent services accelerates this substitution.</w:t>
      </w:r>
    </w:p>
    <w:p>
      <w:pPr>
        <w:spacing w:after="200" w:line="320"/>
        <w:jc w:val="both"/>
      </w:pPr>
      <w:r>
        <w:rPr>
          <w:rFonts w:ascii="Georgia" w:cs="Georgia" w:eastAsia="Georgia" w:hAnsi="Georgia"/>
          <w:color w:val="1A1A1A"/>
          <w:sz w:val="22"/>
          <w:szCs w:val="22"/>
        </w:rPr>
        <w:t xml:space="preserve">The PMHNP workforce reaching 35,000 by Year 5-6 (versus current 18,000) substantially augments psychiatric medication management capacity. Combined with the existing 28,000 psychiatrists, total psychiatric prescribing capacity reaches 63,000 providers — substantially closer to the universal-access requirement than psychiatrists alone could provide.</w:t>
      </w:r>
    </w:p>
    <w:p>
      <w:pPr>
        <w:pStyle w:val="Heading3"/>
        <w:spacing w:after="120" w:before="240"/>
      </w:pPr>
      <w:r>
        <w:rPr>
          <w:rFonts w:ascii="Arial" w:cs="Arial" w:eastAsia="Arial" w:hAnsi="Arial"/>
          <w:b/>
          <w:bCs/>
          <w:color w:val="C00000"/>
          <w:sz w:val="22"/>
          <w:szCs w:val="22"/>
        </w:rPr>
        <w:t xml:space="preserve">Mitigation 2: Workforce Redistribution</w:t>
      </w:r>
    </w:p>
    <w:p>
      <w:pPr>
        <w:spacing w:after="200" w:line="320"/>
        <w:jc w:val="both"/>
      </w:pPr>
      <w:r>
        <w:rPr>
          <w:rFonts w:ascii="Georgia" w:cs="Georgia" w:eastAsia="Georgia" w:hAnsi="Georgia"/>
          <w:color w:val="1A1A1A"/>
          <w:sz w:val="22"/>
          <w:szCs w:val="22"/>
        </w:rPr>
        <w:t xml:space="preserve">The aggregate excess in psychologists, clinical social workers, and licensed counselors represents an opportunity rather than a problem. Many of these providers are currently in roles that don't directly deliver mental health clinical services: administrative positions, school settings (where some MH services are provided but not at clinical specialty intensity), employee assistance programs (limited episode counts), and community programs (often without clinical intensity). The platform's universal access funding creates economic demand for these providers to shift toward direct clinical practice.</w:t>
      </w:r>
    </w:p>
    <w:p>
      <w:pPr>
        <w:spacing w:after="200" w:line="320"/>
        <w:jc w:val="both"/>
      </w:pPr>
      <w:r>
        <w:rPr>
          <w:rFonts w:ascii="Georgia" w:cs="Georgia" w:eastAsia="Georgia" w:hAnsi="Georgia"/>
          <w:color w:val="1A1A1A"/>
          <w:sz w:val="22"/>
          <w:szCs w:val="22"/>
        </w:rPr>
        <w:t xml:space="preserve">Specifically, of the 250,000 LCSWs and 350,000 LPCs in the workforce, only a fraction currently practice in mental health clinical specialty roles. The platform's funding mechanism (universal access reimbursement at sustainable rates) creates the demand-side conditions for redistribution. Combined with workforce development programs (loan forgiveness for clinical specialty practice, continuing education funding, supervisor support for new specialty practitioners), a substantial portion of the existing surplus can be redirected to clinical mental health practice within 3-5 years.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psychiatrist workforce takes 67 years to close through training alone. PMHNP expansion plus workforce redistribution close the gap to operational adequacy by Year 8-12 — but only when combined with telehealth integration and collaborative care models.”</w:t>
            </w:r>
          </w:p>
        </w:tc>
      </w:tr>
    </w:tbl>
    <w:p>
      <w:r>
        <w:br w:type="page"/>
      </w:r>
    </w:p>
    <w:p>
      <w:pPr>
        <w:pStyle w:val="Heading1"/>
        <w:spacing w:after="240" w:before="480"/>
      </w:pPr>
      <w:r>
        <w:rPr>
          <w:rFonts w:ascii="Arial" w:cs="Arial" w:eastAsia="Arial" w:hAnsi="Arial"/>
          <w:b/>
          <w:bCs/>
          <w:color w:val="1F4E78"/>
          <w:sz w:val="36"/>
          <w:szCs w:val="36"/>
        </w:rPr>
        <w:t xml:space="preserve">Telehealth Integration: The Force Multiplier</w:t>
      </w:r>
    </w:p>
    <w:p>
      <w:pPr>
        <w:spacing w:after="240" w:line="340"/>
        <w:jc w:val="both"/>
      </w:pPr>
      <w:r>
        <w:rPr>
          <w:rFonts w:ascii="Georgia" w:cs="Georgia" w:eastAsia="Georgia" w:hAnsi="Georgia"/>
          <w:color w:val="1A1A1A"/>
          <w:sz w:val="24"/>
          <w:szCs w:val="24"/>
        </w:rPr>
        <w:t xml:space="preserve">Mental health is the medical specialty where telehealth works best. Most visits don't require physical examination. Studies during COVID-era expansion found psychiatric medication management via telehealth was non-inferior to in-person care, and several therapy modalities (cognitive behavioral therapy, motivational interviewing, dialectical behavior therapy components) showed equivalent or superior outcomes via video. Telehealth dramatically expands effective provider capacity and partially closes geographic access gaps. It is the single biggest force multiplier in the workforce equation.</w:t>
      </w:r>
    </w:p>
    <w:p>
      <w:pPr>
        <w:pStyle w:val="Heading2"/>
        <w:spacing w:after="160" w:before="360"/>
      </w:pPr>
      <w:r>
        <w:rPr>
          <w:rFonts w:ascii="Arial" w:cs="Arial" w:eastAsia="Arial" w:hAnsi="Arial"/>
          <w:b/>
          <w:bCs/>
          <w:color w:val="1F4E78"/>
          <w:sz w:val="28"/>
          <w:szCs w:val="28"/>
        </w:rPr>
        <w:t xml:space="preserve">Capacity Multipliers by Service Type</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Service Type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Telehealth Suitability</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Capacity Multiplier</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 via Telehealth</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Therapy (general)</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High</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1.5x</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60%</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Psychiatric med mgmt</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Very High</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2.5x</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75%</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Brief intervention</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High</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1.4x</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Crisis intervention</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Low</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1.0x</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IOP</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Medium</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1.2x</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Inpatient</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None</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1.0x</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bl>
    <w:p>
      <w:pPr>
        <w:spacing w:after="240"/>
      </w:pPr>
      <w:r>
        <w:t xml:space="preserve"/>
      </w:r>
    </w:p>
    <w:p>
      <w:pPr>
        <w:spacing w:after="200" w:line="320"/>
        <w:jc w:val="both"/>
      </w:pPr>
      <w:r>
        <w:rPr>
          <w:rFonts w:ascii="Georgia" w:cs="Georgia" w:eastAsia="Georgia" w:hAnsi="Georgia"/>
          <w:color w:val="1A1A1A"/>
          <w:sz w:val="22"/>
          <w:szCs w:val="22"/>
        </w:rPr>
        <w:t xml:space="preserve">The 2.5x multiplier for psychiatric medication management is the most important number in this analysis. Because medication management visits are short (15-30 minutes), telehealth eliminates the patient travel time, room turnover time, and transition overhead that limits in-person scheduling efficiency. A psychiatrist who sees 16 patients per day in person can effectively see 32-40 patients per day via telehealth without compromising care quality for routine medication management. This means 28,000 psychiatrists with 75% telehealth integration produce capacity equivalent to approximately 53,000 psychiatrists practicing entirely in person.</w:t>
      </w:r>
    </w:p>
    <w:p>
      <w:pPr>
        <w:spacing w:after="200" w:line="320"/>
        <w:jc w:val="both"/>
      </w:pPr>
      <w:r>
        <w:rPr>
          <w:rFonts w:ascii="Georgia" w:cs="Georgia" w:eastAsia="Georgia" w:hAnsi="Georgia"/>
          <w:color w:val="1A1A1A"/>
          <w:sz w:val="22"/>
          <w:szCs w:val="22"/>
        </w:rPr>
        <w:t xml:space="preserve">Combined with PMHNP expansion to 35,000 (also benefiting from the same telehealth multiplier), effective psychiatric prescribing capacity reaches 53K + 66K = 119K provider-equivalents. This exceeds the universal-access requirement of 105K. The math works — but only when telehealth integration is real, not aspirational.</w:t>
      </w:r>
    </w:p>
    <w:p>
      <w:pPr>
        <w:pStyle w:val="Heading2"/>
        <w:spacing w:after="160" w:before="360"/>
      </w:pPr>
      <w:r>
        <w:rPr>
          <w:rFonts w:ascii="Arial" w:cs="Arial" w:eastAsia="Arial" w:hAnsi="Arial"/>
          <w:b/>
          <w:bCs/>
          <w:color w:val="1F4E78"/>
          <w:sz w:val="28"/>
          <w:szCs w:val="28"/>
        </w:rPr>
        <w:t xml:space="preserve">Implementation Requirements for Effective Telehealth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real telehealth integration requires</w:t>
            </w:r>
          </w:p>
          <w:p>
            <w:pPr>
              <w:spacing w:after="100" w:line="280"/>
            </w:pPr>
            <w:r>
              <w:rPr>
                <w:rFonts w:ascii="Georgia" w:cs="Georgia" w:eastAsia="Georgia" w:hAnsi="Georgia"/>
                <w:color w:val="1A1A1A"/>
                <w:sz w:val="21"/>
                <w:szCs w:val="21"/>
              </w:rPr>
              <w:t xml:space="preserve">•  Cross-state licensing reciprocity — currently providers must be licensed in the patient's state, severely limiting telehealth across state lines. Interstate Medical Licensure Compact (IMLC) and similar arrangements need expansion.</w:t>
            </w:r>
          </w:p>
          <w:p>
            <w:pPr>
              <w:spacing w:after="100" w:line="280"/>
            </w:pPr>
            <w:r>
              <w:rPr>
                <w:rFonts w:ascii="Georgia" w:cs="Georgia" w:eastAsia="Georgia" w:hAnsi="Georgia"/>
                <w:color w:val="1A1A1A"/>
                <w:sz w:val="21"/>
                <w:szCs w:val="21"/>
              </w:rPr>
              <w:t xml:space="preserve">•  Reimbursement parity — telehealth and in-person reimbursed at same rates. Currently varies significantly by payer, creating disincentives for telehealth adoption. Many states made temporary parity permanent post-COVID; federal alignment needed.</w:t>
            </w:r>
          </w:p>
          <w:p>
            <w:pPr>
              <w:spacing w:after="100" w:line="280"/>
            </w:pPr>
            <w:r>
              <w:rPr>
                <w:rFonts w:ascii="Georgia" w:cs="Georgia" w:eastAsia="Georgia" w:hAnsi="Georgia"/>
                <w:color w:val="1A1A1A"/>
                <w:sz w:val="21"/>
                <w:szCs w:val="21"/>
              </w:rPr>
              <w:t>•  Broadband access — rural areas with poor connectivity cannot use video telehealth effectively. The platform's broader Civic Infrastructure pillar must include broadband investment, particularly for HPSA areas.</w:t>
            </w:r>
          </w:p>
          <w:p>
            <w:pPr>
              <w:spacing w:after="100" w:line="280"/>
            </w:pPr>
            <w:r>
              <w:rPr>
                <w:rFonts w:ascii="Georgia" w:cs="Georgia" w:eastAsia="Georgia" w:hAnsi="Georgia"/>
                <w:color w:val="1A1A1A"/>
                <w:sz w:val="21"/>
                <w:szCs w:val="21"/>
              </w:rPr>
              <w:t xml:space="preserve">•  Patient digital literacy support — older adults and low-income populations may need additional support to use telehealth platforms effectively.</w:t>
            </w:r>
          </w:p>
          <w:p>
            <w:pPr>
              <w:spacing w:after="100" w:line="280"/>
            </w:pPr>
            <w:r>
              <w:rPr>
                <w:rFonts w:ascii="Georgia" w:cs="Georgia" w:eastAsia="Georgia" w:hAnsi="Georgia"/>
                <w:color w:val="1A1A1A"/>
                <w:sz w:val="21"/>
                <w:szCs w:val="21"/>
              </w:rPr>
              <w:t xml:space="preserve">•  Privacy and security infrastructure — HIPAA-compliant platforms required. Many existing platforms meet this standard, but consistent enforcement matters.</w:t>
            </w:r>
          </w:p>
          <w:p>
            <w:pPr>
              <w:spacing w:after="100" w:line="280"/>
            </w:pPr>
            <w:r>
              <w:rPr>
                <w:rFonts w:ascii="Georgia" w:cs="Georgia" w:eastAsia="Georgia" w:hAnsi="Georgia"/>
                <w:color w:val="1A1A1A"/>
                <w:sz w:val="21"/>
                <w:szCs w:val="21"/>
              </w:rPr>
              <w:t xml:space="preserve">•  Provider training — many clinicians benefit from formal telehealth practice training. Brief training programs (4-8 hours) substantially improve telehealth quality and provider comfort.</w:t>
            </w:r>
          </w:p>
          <w:p>
            <w:pPr>
              <w:spacing w:after="100" w:line="280"/>
            </w:pPr>
            <w:r>
              <w:rPr>
                <w:rFonts w:ascii="Georgia" w:cs="Georgia" w:eastAsia="Georgia" w:hAnsi="Georgia"/>
                <w:color w:val="1A1A1A"/>
                <w:sz w:val="21"/>
                <w:szCs w:val="21"/>
              </w:rPr>
              <w:t xml:space="preserve">•  EHR system integration — documentation should flow seamlessly across telehealth and in-person modalities, not require separate workflows.</w:t>
            </w:r>
          </w:p>
        </w:tc>
      </w:tr>
    </w:tbl>
    <w:p>
      <w:pPr>
        <w:pStyle w:val="Heading2"/>
        <w:spacing w:after="160" w:before="360"/>
      </w:pPr>
      <w:r>
        <w:rPr>
          <w:rFonts w:ascii="Arial" w:cs="Arial" w:eastAsia="Arial" w:hAnsi="Arial"/>
          <w:b/>
          <w:bCs/>
          <w:color w:val="1F4E78"/>
          <w:sz w:val="28"/>
          <w:szCs w:val="28"/>
        </w:rPr>
        <w:t xml:space="preserve">What Telehealth Cannot Do</w:t>
      </w:r>
    </w:p>
    <w:p>
      <w:pPr>
        <w:spacing w:after="200" w:line="320"/>
        <w:jc w:val="both"/>
      </w:pPr>
      <w:r>
        <w:rPr>
          <w:rFonts w:ascii="Georgia" w:cs="Georgia" w:eastAsia="Georgia" w:hAnsi="Georgia"/>
          <w:color w:val="1A1A1A"/>
          <w:sz w:val="22"/>
          <w:szCs w:val="22"/>
        </w:rPr>
        <w:t xml:space="preserve">Telehealth's limitations are real and important to acknowledge. Crisis intervention typically requires in-person assessment for safety reasons. Inpatient hospitalization is inherently in-person. Some therapy modalities (particularly play therapy for children, certain group therapies, and some trauma-focused therapies requiring physical presence) have limited telehealth viability. Patients without reliable internet access or private space for confidential conversations cannot use video telehealth (though phone-only telehealth, expanded permanently in some states, partially addresses this).</w:t>
      </w:r>
    </w:p>
    <w:p>
      <w:pPr>
        <w:spacing w:after="200" w:line="320"/>
        <w:jc w:val="both"/>
      </w:pPr>
      <w:r>
        <w:rPr>
          <w:rFonts w:ascii="Georgia" w:cs="Georgia" w:eastAsia="Georgia" w:hAnsi="Georgia"/>
          <w:color w:val="1A1A1A"/>
          <w:sz w:val="22"/>
          <w:szCs w:val="22"/>
        </w:rPr>
        <w:t xml:space="preserve">The 1.5x weighted average capacity multiplier reflects these limitations. It is not a 5x or 10x multiplier; it is a 1.5x multiplier weighted across the full service mix. This is enough to make universal access feasible given combined workforce expansion and redistribution, but it is not magic. Telehealth is one tool among several, not a solution by itself.</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“Telehealth doesn't eliminate the workforce constraint. It transforms it from ‘impossible to close in any reasonable timeframe’ to ‘reachable through combined mitigations within 8-12 years.’”</w:t>
            </w:r>
          </w:p>
        </w:tc>
      </w:tr>
    </w:tbl>
    <w:p>
      <w:r>
        <w:br w:type="page"/>
      </w:r>
    </w:p>
    <w:p>
      <w:pPr>
        <w:pStyle w:val="Heading1"/>
        <w:spacing w:after="240" w:before="480"/>
      </w:pPr>
      <w:r>
        <w:rPr>
          <w:rFonts w:ascii="Arial" w:cs="Arial" w:eastAsia="Arial" w:hAnsi="Arial"/>
          <w:b/>
          <w:bCs/>
          <w:color w:val="1F4E78"/>
          <w:sz w:val="36"/>
          <w:szCs w:val="36"/>
        </w:rPr>
        <w:t xml:space="preserve">Geographic Distribution: The Hardest Sub-Problem</w:t>
      </w:r>
    </w:p>
    <w:p>
      <w:pPr>
        <w:spacing w:after="240" w:line="340"/>
        <w:jc w:val="both"/>
      </w:pPr>
      <w:r>
        <w:rPr>
          <w:rFonts w:ascii="Georgia" w:cs="Georgia" w:eastAsia="Georgia" w:hAnsi="Georgia"/>
          <w:color w:val="1A1A1A"/>
          <w:sz w:val="24"/>
          <w:szCs w:val="24"/>
        </w:rPr>
        <w:t xml:space="preserve">Workforce numbers that look adequate in aggregate are severely maldistributed. Mental Health Professional Shortage Areas (HPSAs) cover approximately 30% of the US population, primarily in rural areas and underserved urban neighborhoods. Some counties have zero psychiatrists. Rural and frontier areas have provider densities 4-10x lower than urban areas. Even with full workforce expansion and telehealth integration, geographic access will remain uneven for decades.</w:t>
      </w:r>
    </w:p>
    <w:p>
      <w:pPr>
        <w:pStyle w:val="Heading2"/>
        <w:spacing w:after="160" w:before="360"/>
      </w:pPr>
      <w:r>
        <w:rPr>
          <w:rFonts w:ascii="Arial" w:cs="Arial" w:eastAsia="Arial" w:hAnsi="Arial"/>
          <w:b/>
          <w:bCs/>
          <w:color w:val="1F4E78"/>
          <w:sz w:val="28"/>
          <w:szCs w:val="28"/>
        </w:rPr>
        <w:t xml:space="preserve">Population and Provider Distribution</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Region</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 of US Pop</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Provider Density</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Pre-Telehealth Gap</w:t>
            </w:r>
          </w:p>
        </w:tc>
        <w:tc>
          <w:tcPr>
            <w:tcW w:type="dxa" w:w="180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Post-Telehealth Gap</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Urban (large metro)</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High</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0%</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Suburban (small metro)</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30%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Medium-High</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w:t>
            </w:r>
          </w:p>
        </w:tc>
      </w:tr>
      <w:tr>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Rural (non-metro)</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15%</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Low</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50%</w:t>
            </w:r>
          </w:p>
        </w:tc>
        <w:tc>
          <w:tcPr>
            <w:tcW w:type="dxa" w:w="180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w:t>
            </w:r>
          </w:p>
        </w:tc>
      </w:tr>
      <w:tr>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Frontier (very rural)</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5%</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Very Low</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70%</w:t>
            </w:r>
          </w:p>
        </w:tc>
        <w:tc>
          <w:tcPr>
            <w:tcW w:type="dxa" w:w="180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40%</w:t>
            </w:r>
          </w:p>
        </w:tc>
      </w:tr>
    </w:tbl>
    <w:p>
      <w:pPr>
        <w:spacing w:after="240"/>
      </w:pPr>
      <w:r>
        <w:t xml:space="preserve"/>
      </w:r>
    </w:p>
    <w:p>
      <w:pPr>
        <w:spacing w:after="200" w:line="320"/>
        <w:jc w:val="both"/>
      </w:pPr>
      <w:r>
        <w:rPr>
          <w:rFonts w:ascii="Georgia" w:cs="Georgia" w:eastAsia="Georgia" w:hAnsi="Georgia"/>
          <w:color w:val="1A1A1A"/>
          <w:sz w:val="22"/>
          <w:szCs w:val="22"/>
        </w:rPr>
        <w:t xml:space="preserve">Telehealth substantially closes the geographic gap but does not eliminate it. The remaining gap in rural areas (20%) and frontier areas (40%) reflects three constraints that telehealth cannot address: broadband access (severely limited in some rural areas), in-person crisis intervention requirements (cannot be done via telehealth), and patient preference (some patients won't engage with telehealth even when available). These remaining gaps require additional mitigations.</w:t>
      </w:r>
    </w:p>
    <w:p>
      <w:pPr>
        <w:pStyle w:val="Heading2"/>
        <w:spacing w:after="160" w:before="360"/>
      </w:pPr>
      <w:r>
        <w:rPr>
          <w:rFonts w:ascii="Arial" w:cs="Arial" w:eastAsia="Arial" w:hAnsi="Arial"/>
          <w:b/>
          <w:bCs/>
          <w:color w:val="1F4E78"/>
          <w:sz w:val="28"/>
          <w:szCs w:val="28"/>
        </w:rPr>
        <w:t xml:space="preserve">Geographic Access Mitigation Strategies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Mitigations beyond telehealth</w:t>
            </w:r>
          </w:p>
          <w:p>
            <w:pPr>
              <w:spacing w:after="100" w:line="280"/>
            </w:pPr>
            <w:r>
              <w:rPr>
                <w:rFonts w:ascii="Georgia" w:cs="Georgia" w:eastAsia="Georgia" w:hAnsi="Georgia"/>
                <w:color w:val="1A1A1A"/>
                <w:sz w:val="21"/>
                <w:szCs w:val="21"/>
              </w:rPr>
              <w:t xml:space="preserve">•  Loan forgiveness for providers serving HPSA areas — expansion of existing National Health Service Corps program with mental-health-specific funding.</w:t>
            </w:r>
          </w:p>
          <w:p>
            <w:pPr>
              <w:spacing w:after="100" w:line="280"/>
            </w:pPr>
            <w:r>
              <w:rPr>
                <w:rFonts w:ascii="Georgia" w:cs="Georgia" w:eastAsia="Georgia" w:hAnsi="Georgia"/>
                <w:color w:val="1A1A1A"/>
                <w:sz w:val="21"/>
                <w:szCs w:val="21"/>
              </w:rPr>
              <w:t xml:space="preserve">•  Compensation premium 25-50% above standard rates for rural and frontier service — creates economic incentive for provider geographic redistribution similar to the healthcare transition plan's specialist redistribution component.</w:t>
            </w:r>
          </w:p>
          <w:p>
            <w:pPr>
              <w:spacing w:after="100" w:line="280"/>
            </w:pPr>
            <w:r>
              <w:rPr>
                <w:rFonts w:ascii="Georgia" w:cs="Georgia" w:eastAsia="Georgia" w:hAnsi="Georgia"/>
                <w:color w:val="1A1A1A"/>
                <w:sz w:val="21"/>
                <w:szCs w:val="21"/>
              </w:rPr>
              <w:t xml:space="preserve">•  Mobile crisis units serving multi-county areas — vans staffed with multidisciplinary teams that can respond to crisis calls across rural counties; reduces dependence on per-county provider availability.</w:t>
            </w:r>
          </w:p>
          <w:p>
            <w:pPr>
              <w:spacing w:after="100" w:line="280"/>
            </w:pPr>
            <w:r>
              <w:rPr>
                <w:rFonts w:ascii="Georgia" w:cs="Georgia" w:eastAsia="Georgia" w:hAnsi="Georgia"/>
                <w:color w:val="1A1A1A"/>
                <w:sz w:val="21"/>
                <w:szCs w:val="21"/>
              </w:rPr>
              <w:t xml:space="preserve">•  Co-located mental health services in primary care offices, school-based health centers, and community health centers — leverages existing rural health infrastructure rather than requiring standalone mental health offices.</w:t>
            </w:r>
          </w:p>
          <w:p>
            <w:pPr>
              <w:spacing w:after="100" w:line="280"/>
            </w:pPr>
            <w:r>
              <w:rPr>
                <w:rFonts w:ascii="Georgia" w:cs="Georgia" w:eastAsia="Georgia" w:hAnsi="Georgia"/>
                <w:color w:val="1A1A1A"/>
                <w:sz w:val="21"/>
                <w:szCs w:val="21"/>
              </w:rPr>
              <w:t xml:space="preserve">•  Community health worker (CHW) programs — trained community members provide screening, case management, and care coordination, particularly in culturally specific contexts (tribal communities, immigrant populations, rural communities with strong local identity).</w:t>
            </w:r>
          </w:p>
          <w:p>
            <w:pPr>
              <w:spacing w:after="100" w:line="280"/>
            </w:pPr>
            <w:r>
              <w:rPr>
                <w:rFonts w:ascii="Georgia" w:cs="Georgia" w:eastAsia="Georgia" w:hAnsi="Georgia"/>
                <w:color w:val="1A1A1A"/>
                <w:sz w:val="21"/>
                <w:szCs w:val="21"/>
              </w:rPr>
              <w:t xml:space="preserve">•  Tribal mental health authority funding — Native American populations face the most severe access shortfalls and benefit from tribally-led programs with sovereignty protections.</w:t>
            </w:r>
          </w:p>
          <w:p>
            <w:pPr>
              <w:spacing w:after="100" w:line="280"/>
            </w:pPr>
            <w:r>
              <w:rPr>
                <w:rFonts w:ascii="Georgia" w:cs="Georgia" w:eastAsia="Georgia" w:hAnsi="Georgia"/>
                <w:color w:val="1A1A1A"/>
                <w:sz w:val="21"/>
                <w:szCs w:val="21"/>
              </w:rPr>
              <w:t>•  Broadband infrastructure investment — prerequisite for telehealth-based access; the platform's Civic Infrastructure pillar must include this.</w:t>
            </w:r>
          </w:p>
        </w:tc>
      </w:tr>
    </w:tbl>
    <w:p>
      <w:pPr>
        <w:pStyle w:val="Heading2"/>
        <w:spacing w:after="160" w:before="360"/>
      </w:pPr>
      <w:r>
        <w:rPr>
          <w:rFonts w:ascii="Arial" w:cs="Arial" w:eastAsia="Arial" w:hAnsi="Arial"/>
          <w:b/>
          <w:bCs/>
          <w:color w:val="1F4E78"/>
          <w:sz w:val="28"/>
          <w:szCs w:val="28"/>
        </w:rPr>
        <w:t xml:space="preserve">Honest Acknowledgment</w:t>
      </w:r>
    </w:p>
    <w:p>
      <w:pPr>
        <w:spacing w:after="200" w:line="320"/>
        <w:jc w:val="both"/>
      </w:pPr>
      <w:r>
        <w:rPr>
          <w:rFonts w:ascii="Georgia" w:cs="Georgia" w:eastAsia="Georgia" w:hAnsi="Georgia"/>
          <w:color w:val="1A1A1A"/>
          <w:sz w:val="22"/>
          <w:szCs w:val="22"/>
        </w:rPr>
        <w:t xml:space="preserve">Geographic access is the hardest sub-problem in mental health. Even with full universal access funding, telehealth integration, workforce expansion, HPSA-targeted incentives, and the mitigation strategies above, frontier and remote rural areas will still have access gaps after 20+ years. The platform's commitment is substantial improvement — closing 60-80% of the access gap — rather than complete elimination. For genuinely remote populations (some Native American reservations, very rural Mountain West, parts of Alaska), mobile services and tribal/community-led programs are the realistic path to access. These populations deserve the same quality care as urban populations; the platform commits to substantially closing the gap while honestly acknowledging that geography imposes real constraints that no policy design can fully eliminate.</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“Workforce numbers that look adequate in aggregate are severely maldistributed. Universal access requires not just enough providers but providers in the right places, which neither training pipeline expansion nor telehealth integration alone can fully achieve.”</w:t>
            </w:r>
          </w:p>
        </w:tc>
      </w:tr>
    </w:tbl>
    <w:p>
      <w:r>
        <w:br w:type="page"/>
      </w:r>
    </w:p>
    <w:p>
      <w:pPr>
        <w:pStyle w:val="Heading1"/>
        <w:spacing w:after="240" w:before="480"/>
      </w:pPr>
      <w:r>
        <w:rPr>
          <w:rFonts w:ascii="Arial" w:cs="Arial" w:eastAsia="Arial" w:hAnsi="Arial"/>
          <w:b/>
          <w:bCs/>
          <w:color w:val="1F4E78"/>
          <w:sz w:val="36"/>
          <w:szCs w:val="36"/>
        </w:rPr>
        <w:t xml:space="preserve">Parity Enforcement: Why the Existing Law Isn't Enough</w:t>
      </w:r>
    </w:p>
    <w:p>
      <w:pPr>
        <w:spacing w:after="240" w:line="340"/>
        <w:jc w:val="both"/>
      </w:pPr>
      <w:r>
        <w:rPr>
          <w:rFonts w:ascii="Georgia" w:cs="Georgia" w:eastAsia="Georgia" w:hAnsi="Georgia"/>
          <w:color w:val="1A1A1A"/>
          <w:sz w:val="24"/>
          <w:szCs w:val="24"/>
        </w:rPr>
        <w:t xml:space="preserve">The Mental Health Parity and Addiction Equity Act of 2008 (MHPAEA) requires that group health plans and health insurance issuers offering mental health and substance use disorder benefits provide them on terms equivalent to medical/surgical benefits. Sixteen years later, parity is still not effectively enforced. The gap between law on the books and actual practice illustrates why the platform's universal access architecture cannot rely on existing parity law alone.</w:t>
      </w:r>
    </w:p>
    <w:p>
      <w:pPr>
        <w:pStyle w:val="Heading2"/>
        <w:spacing w:after="160" w:before="360"/>
      </w:pPr>
      <w:r>
        <w:rPr>
          <w:rFonts w:ascii="Arial" w:cs="Arial" w:eastAsia="Arial" w:hAnsi="Arial"/>
          <w:b/>
          <w:bCs/>
          <w:color w:val="1F4E78"/>
          <w:sz w:val="28"/>
          <w:szCs w:val="28"/>
        </w:rPr>
        <w:t xml:space="preserve">How Current Parity Enforcement Fails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Where MHPAEA falls short in practice</w:t>
            </w:r>
          </w:p>
          <w:p>
            <w:pPr>
              <w:spacing w:after="100" w:line="280"/>
            </w:pPr>
            <w:r>
              <w:rPr>
                <w:rFonts w:ascii="Georgia" w:cs="Georgia" w:eastAsia="Georgia" w:hAnsi="Georgia"/>
                <w:color w:val="1A1A1A"/>
                <w:sz w:val="21"/>
                <w:szCs w:val="21"/>
              </w:rPr>
              <w:t xml:space="preserve">•  Network adequacy: insurers maintain narrower mental health provider networks than medical/surgical networks, with longer wait times and fewer accepting new patients. The law requires equivalent terms but doesn't specify enforceable network adequacy standards.</w:t>
            </w:r>
          </w:p>
          <w:p>
            <w:pPr>
              <w:spacing w:after="100" w:line="280"/>
            </w:pPr>
            <w:r>
              <w:rPr>
                <w:rFonts w:ascii="Georgia" w:cs="Georgia" w:eastAsia="Georgia" w:hAnsi="Georgia"/>
                <w:color w:val="1A1A1A"/>
                <w:sz w:val="21"/>
                <w:szCs w:val="21"/>
              </w:rPr>
              <w:t xml:space="preserve">•  Reimbursement rates: mental health providers receive lower reimbursement rates than medical specialists for comparable cognitive work, leading providers to refuse insurance contracts and operate cash-only. Patients face nominal coverage that's effectively unusable.</w:t>
            </w:r>
          </w:p>
          <w:p>
            <w:pPr>
              <w:spacing w:after="100" w:line="280"/>
            </w:pPr>
            <w:r>
              <w:rPr>
                <w:rFonts w:ascii="Georgia" w:cs="Georgia" w:eastAsia="Georgia" w:hAnsi="Georgia"/>
                <w:color w:val="1A1A1A"/>
                <w:sz w:val="21"/>
                <w:szCs w:val="21"/>
              </w:rPr>
              <w:t xml:space="preserve">•  Prior authorization burden: mental health services face more frequent prior authorization requirements than medical/surgical services, creating administrative friction that effectively reduces utilization.</w:t>
            </w:r>
          </w:p>
          <w:p>
            <w:pPr>
              <w:spacing w:after="100" w:line="280"/>
            </w:pPr>
            <w:r>
              <w:rPr>
                <w:rFonts w:ascii="Georgia" w:cs="Georgia" w:eastAsia="Georgia" w:hAnsi="Georgia"/>
                <w:color w:val="1A1A1A"/>
                <w:sz w:val="21"/>
                <w:szCs w:val="21"/>
              </w:rPr>
              <w:t xml:space="preserve">•  Step therapy requirements: insurers often require trying lower-cost interventions before authorizing higher-cost ones, which can be appropriate clinically but is sometimes applied in ways that create barriers without clinical justification.</w:t>
            </w:r>
          </w:p>
          <w:p>
            <w:pPr>
              <w:spacing w:after="100" w:line="280"/>
            </w:pPr>
            <w:r>
              <w:rPr>
                <w:rFonts w:ascii="Georgia" w:cs="Georgia" w:eastAsia="Georgia" w:hAnsi="Georgia"/>
                <w:color w:val="1A1A1A"/>
                <w:sz w:val="21"/>
                <w:szCs w:val="21"/>
              </w:rPr>
              <w:t xml:space="preserve">•  Documentation burden on providers: mental health visits require extensive documentation that medical/surgical visits don't, creating administrative tax on providers that reduces visit availability.</w:t>
            </w:r>
          </w:p>
          <w:p>
            <w:pPr>
              <w:spacing w:after="100" w:line="280"/>
            </w:pPr>
            <w:r>
              <w:rPr>
                <w:rFonts w:ascii="Georgia" w:cs="Georgia" w:eastAsia="Georgia" w:hAnsi="Georgia"/>
                <w:color w:val="1A1A1A"/>
                <w:sz w:val="21"/>
                <w:szCs w:val="21"/>
              </w:rPr>
              <w:t xml:space="preserve">•  Limited federal enforcement capacity: the Department of Labor and HHS have limited examiners to investigate parity violations, and remedies for found violations are weak (typically requiring future compliance rather than retroactive remediation).</w:t>
            </w:r>
          </w:p>
          <w:p>
            <w:pPr>
              <w:spacing w:after="100" w:line="280"/>
            </w:pPr>
            <w:r>
              <w:rPr>
                <w:rFonts w:ascii="Georgia" w:cs="Georgia" w:eastAsia="Georgia" w:hAnsi="Georgia"/>
                <w:color w:val="1A1A1A"/>
                <w:sz w:val="21"/>
                <w:szCs w:val="21"/>
              </w:rPr>
              <w:t xml:space="preserve">•  State-level variation: states have varying parity laws and enforcement capacity, creating geographic inequity in actual coverage even where federal law applies.</w:t>
            </w:r>
          </w:p>
        </w:tc>
      </w:tr>
    </w:tbl>
    <w:p>
      <w:pPr>
        <w:pStyle w:val="Heading2"/>
        <w:spacing w:after="160" w:before="360"/>
      </w:pPr>
      <w:r>
        <w:rPr>
          <w:rFonts w:ascii="Arial" w:cs="Arial" w:eastAsia="Arial" w:hAnsi="Arial"/>
          <w:b/>
          <w:bCs/>
          <w:color w:val="1F4E78"/>
          <w:sz w:val="28"/>
          <w:szCs w:val="28"/>
        </w:rPr>
        <w:t xml:space="preserve">What Real Parity Enforcement Requires</w:t>
      </w:r>
    </w:p>
    <w:p>
      <w:pPr>
        <w:spacing w:after="200" w:line="320"/>
        <w:jc w:val="both"/>
      </w:pPr>
      <w:r>
        <w:rPr>
          <w:rFonts w:ascii="Georgia" w:cs="Georgia" w:eastAsia="Georgia" w:hAnsi="Georgia"/>
          <w:color w:val="1A1A1A"/>
          <w:sz w:val="22"/>
          <w:szCs w:val="22"/>
        </w:rPr>
        <w:t xml:space="preserve">Universal mental health access through the platform's payroll-funded mechanism partially sidesteps parity enforcement issues by establishing a single-payer-style funding stream where parity is structurally built in rather than requiring enforcement against private insurers. But the existing private insurance market continues to exist for non-platform-eligible services and for the population still using employer-sponsored insurance during transition years. Real parity enforcement is needed for that market.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Components of effective parity enforcement</w:t>
            </w:r>
          </w:p>
          <w:p>
            <w:pPr>
              <w:spacing w:after="100" w:line="280"/>
            </w:pPr>
            <w:r>
              <w:rPr>
                <w:rFonts w:ascii="Georgia" w:cs="Georgia" w:eastAsia="Georgia" w:hAnsi="Georgia"/>
                <w:color w:val="1A1A1A"/>
                <w:sz w:val="21"/>
                <w:szCs w:val="21"/>
              </w:rPr>
              <w:t xml:space="preserve">•  Network adequacy standards with quantitative metrics: maximum wait times for new patient appointments, minimum provider density per insured population, specific requirements for psychiatrists vs therapists vs PMHNPs.</w:t>
            </w:r>
          </w:p>
          <w:p>
            <w:pPr>
              <w:spacing w:after="100" w:line="280"/>
            </w:pPr>
            <w:r>
              <w:rPr>
                <w:rFonts w:ascii="Georgia" w:cs="Georgia" w:eastAsia="Georgia" w:hAnsi="Georgia"/>
                <w:color w:val="1A1A1A"/>
                <w:sz w:val="21"/>
                <w:szCs w:val="21"/>
              </w:rPr>
              <w:t xml:space="preserve">•  Reimbursement rate parity audits: insurance plans must demonstrate that mental health reimbursement rates are equivalent to medical/surgical rates for comparable cognitive work (CPT code-based comparison).</w:t>
            </w:r>
          </w:p>
          <w:p>
            <w:pPr>
              <w:spacing w:after="100" w:line="280"/>
            </w:pPr>
            <w:r>
              <w:rPr>
                <w:rFonts w:ascii="Georgia" w:cs="Georgia" w:eastAsia="Georgia" w:hAnsi="Georgia"/>
                <w:color w:val="1A1A1A"/>
                <w:sz w:val="21"/>
                <w:szCs w:val="21"/>
              </w:rPr>
              <w:t xml:space="preserve">•  Prior authorization audits: insurers required to demonstrate that prior authorization frequency and approval rates are equivalent across mental health and medical/surgical services.</w:t>
            </w:r>
          </w:p>
          <w:p>
            <w:pPr>
              <w:spacing w:after="100" w:line="280"/>
            </w:pPr>
            <w:r>
              <w:rPr>
                <w:rFonts w:ascii="Georgia" w:cs="Georgia" w:eastAsia="Georgia" w:hAnsi="Georgia"/>
                <w:color w:val="1A1A1A"/>
                <w:sz w:val="21"/>
                <w:szCs w:val="21"/>
              </w:rPr>
              <w:t xml:space="preserve">•  Penalties with teeth: violations result in financial penalties (rather than just future compliance requirements) and possible loss of state insurance license for repeated violations.</w:t>
            </w:r>
          </w:p>
          <w:p>
            <w:pPr>
              <w:spacing w:after="100" w:line="280"/>
            </w:pPr>
            <w:r>
              <w:rPr>
                <w:rFonts w:ascii="Georgia" w:cs="Georgia" w:eastAsia="Georgia" w:hAnsi="Georgia"/>
                <w:color w:val="1A1A1A"/>
                <w:sz w:val="21"/>
                <w:szCs w:val="21"/>
              </w:rPr>
              <w:t xml:space="preserve">•  Patient private right of action: individuals harmed by parity violations can sue insurers directly, expanding enforcement capacity beyond government agencies.</w:t>
            </w:r>
          </w:p>
          <w:p>
            <w:pPr>
              <w:spacing w:after="100" w:line="280"/>
            </w:pPr>
            <w:r>
              <w:rPr>
                <w:rFonts w:ascii="Georgia" w:cs="Georgia" w:eastAsia="Georgia" w:hAnsi="Georgia"/>
                <w:color w:val="1A1A1A"/>
                <w:sz w:val="21"/>
                <w:szCs w:val="21"/>
              </w:rPr>
              <w:t xml:space="preserve">•  Network transparency requirements: insurers must publish provider directories that are accurate (current data shows ghost networks where listed providers don't accept new patients), with penalties for inaccurate listings.</w:t>
            </w:r>
          </w:p>
          <w:p>
            <w:pPr>
              <w:spacing w:after="100" w:line="280"/>
            </w:pPr>
            <w:r>
              <w:rPr>
                <w:rFonts w:ascii="Georgia" w:cs="Georgia" w:eastAsia="Georgia" w:hAnsi="Georgia"/>
                <w:color w:val="1A1A1A"/>
                <w:sz w:val="21"/>
                <w:szCs w:val="21"/>
              </w:rPr>
              <w:t xml:space="preserve">•  Federal-state coordination: clear delineation of federal vs state enforcement roles, with backstop federal authority when state enforcement is inadequate.</w:t>
            </w:r>
          </w:p>
        </w:tc>
      </w:tr>
    </w:tbl>
    <w:p>
      <w:pPr>
        <w:pStyle w:val="Heading2"/>
        <w:spacing w:after="160" w:before="360"/>
      </w:pPr>
      <w:r>
        <w:rPr>
          <w:rFonts w:ascii="Arial" w:cs="Arial" w:eastAsia="Arial" w:hAnsi="Arial"/>
          <w:b/>
          <w:bCs/>
          <w:color w:val="1F4E78"/>
          <w:sz w:val="28"/>
          <w:szCs w:val="28"/>
        </w:rPr>
        <w:t xml:space="preserve">How the Platform Architecture Reduces Parity Dependency</w:t>
      </w:r>
    </w:p>
    <w:p>
      <w:pPr>
        <w:spacing w:after="200" w:line="320"/>
        <w:jc w:val="both"/>
      </w:pPr>
      <w:r>
        <w:rPr>
          <w:rFonts w:ascii="Georgia" w:cs="Georgia" w:eastAsia="Georgia" w:hAnsi="Georgia"/>
          <w:color w:val="1A1A1A"/>
          <w:sz w:val="22"/>
          <w:szCs w:val="22"/>
        </w:rPr>
        <w:t xml:space="preserve">The platform's universal access funding mechanism (0.5% employer + 0.3% employee payroll = ~$104B annually, combined with continued $104B existing federal spending) provides sufficient funding to make mental health services available to all Americans regardless of insurance status. This means individuals without adequate insurance, with parity-violating insurance, or with inability to navigate insurance authorization processes still have access. The architecture reduces but does not eliminate the importance of parity enforcement — private insurance still serves a substantial population, particularly during transition years — but it provides a backstop that current parity law alone cannot.</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“Parity law has existed for 16 years and is still not adequately enforced. The platform's architecture provides universal access funding directly, reducing dependency on private insurance parity — but real parity enforcement remains necessary for the substantial population using private insurance for mental health.”</w:t>
            </w:r>
          </w:p>
        </w:tc>
      </w:tr>
    </w:tbl>
    <w:p>
      <w:r>
        <w:br w:type="page"/>
      </w:r>
    </w:p>
    <w:p>
      <w:pPr>
        <w:pStyle w:val="Heading1"/>
        <w:spacing w:after="240" w:before="480"/>
      </w:pPr>
      <w:r>
        <w:rPr>
          <w:rFonts w:ascii="Arial" w:cs="Arial" w:eastAsia="Arial" w:hAnsi="Arial"/>
          <w:b/>
          <w:bCs/>
          <w:color w:val="1F4E78"/>
          <w:sz w:val="36"/>
          <w:szCs w:val="36"/>
        </w:rPr>
        <w:t xml:space="preserve">Collaborative Care: Integration with Primary Care</w:t>
      </w:r>
    </w:p>
    <w:p>
      <w:pPr>
        <w:spacing w:after="240" w:line="340"/>
        <w:jc w:val="both"/>
      </w:pPr>
      <w:r>
        <w:rPr>
          <w:rFonts w:ascii="Georgia" w:cs="Georgia" w:eastAsia="Georgia" w:hAnsi="Georgia"/>
          <w:color w:val="1A1A1A"/>
          <w:sz w:val="24"/>
          <w:szCs w:val="24"/>
        </w:rPr>
        <w:t xml:space="preserve">Approximately 70% of patients with mental health conditions are seen in primary care rather than mental health specialty settings. The collaborative care model leverages this reality: rather than treating primary care as a barrier to specialty mental health access, it treats primary care as the largest mental health workforce in the country, with specialty support extending its reach. Implemented well, collaborative care substantially extends mental health capacity and improves access in geographic and demographic areas where specialty services are scarce.</w:t>
      </w:r>
    </w:p>
    <w:p>
      <w:pPr>
        <w:pStyle w:val="Heading2"/>
        <w:spacing w:after="160" w:before="360"/>
      </w:pPr>
      <w:r>
        <w:rPr>
          <w:rFonts w:ascii="Arial" w:cs="Arial" w:eastAsia="Arial" w:hAnsi="Arial"/>
          <w:b/>
          <w:bCs/>
          <w:color w:val="1F4E78"/>
          <w:sz w:val="28"/>
          <w:szCs w:val="28"/>
        </w:rPr>
        <w:t xml:space="preserve">How Collaborative Care Works</w:t>
      </w:r>
    </w:p>
    <w:p>
      <w:pPr>
        <w:spacing w:after="200" w:line="320"/>
        <w:jc w:val="both"/>
      </w:pPr>
      <w:r>
        <w:rPr>
          <w:rFonts w:ascii="Georgia" w:cs="Georgia" w:eastAsia="Georgia" w:hAnsi="Georgia"/>
          <w:color w:val="1A1A1A"/>
          <w:sz w:val="22"/>
          <w:szCs w:val="22"/>
        </w:rPr>
        <w:t xml:space="preserve">The University of Washington's Advancing Integrated Mental Health Solutions (AIMS) Center has documented the collaborative care model extensively. The model has four components. First, a primary care provider screens patients for mental health concerns and provides initial diagnosis and treatment for common conditions (depression, anxiety, ADHD). Second, a behavioral health care manager (often a nurse, social worker, or licensed counselor) embedded in the primary care practice provides brief therapy, care coordination, and follow-up between primary care visits. Third, a psychiatric consultant (psychiatrist or PMHNP) provides indirect consultation — reviewing case loads, suggesting treatment adjustments, advising on medication choices — without typically seeing patients directly. Fourth, measurement-based care uses validated screening instruments (PHQ-9 for depression, GAD-7 for anxiety) at baseline and follow-up to track outcomes systematically.</w:t>
      </w:r>
    </w:p>
    <w:p>
      <w:pPr>
        <w:pStyle w:val="Heading2"/>
        <w:spacing w:after="160" w:before="360"/>
      </w:pPr>
      <w:r>
        <w:rPr>
          <w:rFonts w:ascii="Arial" w:cs="Arial" w:eastAsia="Arial" w:hAnsi="Arial"/>
          <w:b/>
          <w:bCs/>
          <w:color w:val="1F4E78"/>
          <w:sz w:val="28"/>
          <w:szCs w:val="28"/>
        </w:rPr>
        <w:t xml:space="preserve">Why Collaborative Care Matters for Universal Access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Capacity advantages of collaborative care</w:t>
            </w:r>
          </w:p>
          <w:p>
            <w:pPr>
              <w:spacing w:after="100" w:line="280"/>
            </w:pPr>
            <w:r>
              <w:rPr>
                <w:rFonts w:ascii="Georgia" w:cs="Georgia" w:eastAsia="Georgia" w:hAnsi="Georgia"/>
                <w:color w:val="1A1A1A"/>
                <w:sz w:val="21"/>
                <w:szCs w:val="21"/>
              </w:rPr>
              <w:t xml:space="preserve">•  One psychiatric consultant can support 15-25 primary care providers through indirect consultation, dramatically multiplying psychiatric expertise reach.</w:t>
            </w:r>
          </w:p>
          <w:p>
            <w:pPr>
              <w:spacing w:after="100" w:line="280"/>
            </w:pPr>
            <w:r>
              <w:rPr>
                <w:rFonts w:ascii="Georgia" w:cs="Georgia" w:eastAsia="Georgia" w:hAnsi="Georgia"/>
                <w:color w:val="1A1A1A"/>
                <w:sz w:val="21"/>
                <w:szCs w:val="21"/>
              </w:rPr>
              <w:t xml:space="preserve">•  Most mild-to-moderate depression and anxiety can be effectively treated in primary care with appropriate support, reducing demand for specialty referrals.</w:t>
            </w:r>
          </w:p>
          <w:p>
            <w:pPr>
              <w:spacing w:after="100" w:line="280"/>
            </w:pPr>
            <w:r>
              <w:rPr>
                <w:rFonts w:ascii="Georgia" w:cs="Georgia" w:eastAsia="Georgia" w:hAnsi="Georgia"/>
                <w:color w:val="1A1A1A"/>
                <w:sz w:val="21"/>
                <w:szCs w:val="21"/>
              </w:rPr>
              <w:t xml:space="preserve">•  Patients receive treatment in familiar settings without the stigma some associate with specialty mental health facilities.</w:t>
            </w:r>
          </w:p>
          <w:p>
            <w:pPr>
              <w:spacing w:after="100" w:line="280"/>
            </w:pPr>
            <w:r>
              <w:rPr>
                <w:rFonts w:ascii="Georgia" w:cs="Georgia" w:eastAsia="Georgia" w:hAnsi="Georgia"/>
                <w:color w:val="1A1A1A"/>
                <w:sz w:val="21"/>
                <w:szCs w:val="21"/>
              </w:rPr>
              <w:t xml:space="preserve">•  Geographic access expands because primary care infrastructure exists in areas where specialty mental health services are scarce.</w:t>
            </w:r>
          </w:p>
          <w:p>
            <w:pPr>
              <w:spacing w:after="100" w:line="280"/>
            </w:pPr>
            <w:r>
              <w:rPr>
                <w:rFonts w:ascii="Georgia" w:cs="Georgia" w:eastAsia="Georgia" w:hAnsi="Georgia"/>
                <w:color w:val="1A1A1A"/>
                <w:sz w:val="21"/>
                <w:szCs w:val="21"/>
              </w:rPr>
              <w:t xml:space="preserve">•  Cultural and linguistic competency is often better in primary care relationships, particularly for populations whose primary care provider matches their cultural background.</w:t>
            </w:r>
          </w:p>
          <w:p>
            <w:pPr>
              <w:spacing w:after="100" w:line="280"/>
            </w:pPr>
            <w:r>
              <w:rPr>
                <w:rFonts w:ascii="Georgia" w:cs="Georgia" w:eastAsia="Georgia" w:hAnsi="Georgia"/>
                <w:color w:val="1A1A1A"/>
                <w:sz w:val="21"/>
                <w:szCs w:val="21"/>
              </w:rPr>
              <w:t xml:space="preserve">•  Care coordination reduces fragmentation between physical and mental health treatment, particularly important for patients with chronic conditions.</w:t>
            </w:r>
          </w:p>
          <w:p>
            <w:pPr>
              <w:spacing w:after="100" w:line="280"/>
            </w:pPr>
            <w:r>
              <w:rPr>
                <w:rFonts w:ascii="Georgia" w:cs="Georgia" w:eastAsia="Georgia" w:hAnsi="Georgia"/>
                <w:color w:val="1A1A1A"/>
                <w:sz w:val="21"/>
                <w:szCs w:val="21"/>
              </w:rPr>
              <w:t xml:space="preserve">•  Cost is lower than specialty referral models for common conditions, though more intensive cases still require specialty care.</w:t>
            </w:r>
          </w:p>
        </w:tc>
      </w:tr>
    </w:tbl>
    <w:p>
      <w:pPr>
        <w:pStyle w:val="Heading2"/>
        <w:spacing w:after="160" w:before="360"/>
      </w:pPr>
      <w:r>
        <w:rPr>
          <w:rFonts w:ascii="Arial" w:cs="Arial" w:eastAsia="Arial" w:hAnsi="Arial"/>
          <w:b/>
          <w:bCs/>
          <w:color w:val="1F4E78"/>
          <w:sz w:val="28"/>
          <w:szCs w:val="28"/>
        </w:rPr>
        <w:t xml:space="preserve">Implementation Requirements</w:t>
      </w:r>
    </w:p>
    <w:p>
      <w:pPr>
        <w:spacing w:after="200" w:line="320"/>
        <w:jc w:val="both"/>
      </w:pPr>
      <w:r>
        <w:rPr>
          <w:rFonts w:ascii="Georgia" w:cs="Georgia" w:eastAsia="Georgia" w:hAnsi="Georgia"/>
          <w:color w:val="1A1A1A"/>
          <w:sz w:val="22"/>
          <w:szCs w:val="22"/>
        </w:rPr>
        <w:t>Collaborative care implementation requires several components beyond simply asserting that it should happen. Reimbursement structure must support the model: CMS (Centers for Medicare and Medicaid Services) introduced collaborative care management codes (CPT 99492-99494, G2214) but adoption has been slow due to administrative complexity. Streamlined billing and adequate reimbursement rates accelerate adoption. Workforce training matters: primary care providers need training in mental health diagnosis and treatment beyond what most medical schools currently provide. Care managers need specific training in collaborative care competencies. Psychiatric consultants need training in consultation models that differ from direct patient care.</w:t>
      </w:r>
    </w:p>
    <w:p>
      <w:pPr>
        <w:spacing w:after="200" w:line="320"/>
        <w:jc w:val="both"/>
      </w:pPr>
      <w:r>
        <w:rPr>
          <w:rFonts w:ascii="Georgia" w:cs="Georgia" w:eastAsia="Georgia" w:hAnsi="Georgia"/>
          <w:color w:val="1A1A1A"/>
          <w:sz w:val="22"/>
          <w:szCs w:val="22"/>
        </w:rPr>
        <w:t xml:space="preserve">Measurement-based care requires EHR integration so screening tools, outcomes tracking, and consultant reviews flow through normal clinical workflows rather than requiring separate documentation systems. Practice transformation support helps practices restructure workflow to accommodate care managers and consultation processes. The platform's universal access funding mechanism can incorporate enhanced reimbursement for collaborative care services, creating economic alignment that makes implementation sustainable.</w:t>
      </w:r>
    </w:p>
    <w:p>
      <w:pPr>
        <w:pStyle w:val="Heading2"/>
        <w:spacing w:after="160" w:before="360"/>
      </w:pPr>
      <w:r>
        <w:rPr>
          <w:rFonts w:ascii="Arial" w:cs="Arial" w:eastAsia="Arial" w:hAnsi="Arial"/>
          <w:b/>
          <w:bCs/>
          <w:color w:val="1F4E78"/>
          <w:sz w:val="28"/>
          <w:szCs w:val="28"/>
        </w:rPr>
        <w:t xml:space="preserve">Capacity Impact</w:t>
      </w:r>
    </w:p>
    <w:p>
      <w:pPr>
        <w:spacing w:after="200" w:line="320"/>
        <w:jc w:val="both"/>
      </w:pPr>
      <w:r>
        <w:rPr>
          <w:rFonts w:ascii="Georgia" w:cs="Georgia" w:eastAsia="Georgia" w:hAnsi="Georgia"/>
          <w:color w:val="1A1A1A"/>
          <w:sz w:val="22"/>
          <w:szCs w:val="22"/>
        </w:rPr>
        <w:t xml:space="preserve">Effective collaborative care implementation could shift approximately 40-50% of mental health care delivery into primary care settings. For a universal-access system serving 104M users annually, this would mean approximately 45-55M users receiving primary mental health care in primary care settings rather than specialty mental health settings. The remaining 50-60M users continue to need specialty services for conditions beyond primary care scope (severe mental illness, complex psychiatric medication regimens, intensive therapy for trauma or personality disorders, crisis intervention, IOP, inpatient care).</w:t>
      </w:r>
    </w:p>
    <w:p>
      <w:pPr>
        <w:spacing w:after="200" w:line="320"/>
        <w:jc w:val="both"/>
      </w:pPr>
      <w:r>
        <w:rPr>
          <w:rFonts w:ascii="Georgia" w:cs="Georgia" w:eastAsia="Georgia" w:hAnsi="Georgia"/>
          <w:color w:val="1A1A1A"/>
          <w:sz w:val="22"/>
          <w:szCs w:val="22"/>
        </w:rPr>
        <w:t>This shift dramatically eases the workforce constraint. Specialty mental health providers (psychiatrists, psychologists, LCSWs, LPCs in clinical specialty roles) become focused on the cases that genuinely need their expertise rather than serving as the only available mental health providers for everything from situational anxiety to severe schizophrenia. Combined with telehealth integration and PMHNP expansion, collaborative care brings Universal Mental Health access within operational reach.</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“Collaborative care doesn't reduce the value of specialty mental health services. It ensures specialty providers focus on cases that genuinely need their expertise, while the much larger primary care workforce handles the substantial majority of mental health needs that don't require specialty intervention.”</w:t>
            </w:r>
          </w:p>
        </w:tc>
      </w:tr>
    </w:tbl>
    <w:p>
      <w:r>
        <w:br w:type="page"/>
      </w:r>
    </w:p>
    <w:p>
      <w:pPr>
        <w:pStyle w:val="Heading1"/>
        <w:spacing w:after="240" w:before="480"/>
      </w:pPr>
      <w:r>
        <w:rPr>
          <w:rFonts w:ascii="Arial" w:cs="Arial" w:eastAsia="Arial" w:hAnsi="Arial"/>
          <w:b/>
          <w:bCs/>
          <w:color w:val="1F4E78"/>
          <w:sz w:val="36"/>
          <w:szCs w:val="36"/>
        </w:rPr>
        <w:t xml:space="preserve">Stress Tests and Mitigations</w:t>
      </w:r>
    </w:p>
    <w:p>
      <w:pPr>
        <w:spacing w:after="240" w:line="340"/>
        <w:jc w:val="both"/>
      </w:pPr>
      <w:r>
        <w:rPr>
          <w:rFonts w:ascii="Georgia" w:cs="Georgia" w:eastAsia="Georgia" w:hAnsi="Georgia"/>
          <w:color w:val="1A1A1A"/>
          <w:sz w:val="24"/>
          <w:szCs w:val="24"/>
        </w:rPr>
        <w:t xml:space="preserve">Following the v2.0 stress-testing pattern from the Combined Reform Model, the substantiated mental health model includes stress-test scenarios for the key adverse conditions that could compromise the architecture. This section articulates the scenarios, the model's verdict on each, and the mitigations that would apply if the scenario materialized.</w:t>
      </w:r>
    </w:p>
    <w:p>
      <w:pPr>
        <w:pStyle w:val="Heading2"/>
        <w:spacing w:after="160" w:before="360"/>
      </w:pPr>
      <w:r>
        <w:rPr>
          <w:rFonts w:ascii="Arial" w:cs="Arial" w:eastAsia="Arial" w:hAnsi="Arial"/>
          <w:b/>
          <w:bCs/>
          <w:color w:val="1F4E78"/>
          <w:sz w:val="28"/>
          <w:szCs w:val="28"/>
        </w:rPr>
        <w:t xml:space="preserve">Stress Test Scenarios</w:t>
      </w:r>
    </w:p>
    <w:p>
      <w:pPr>
        <w:spacing w:after="12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tblGrid>
      <w:tr>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Scenario</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Parameter Change</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Total Cost</w:t>
            </w:r>
          </w:p>
        </w:tc>
        <w:tc>
          <w:tcPr>
            <w:tcW w:type="dxa" w:w="2250"/>
            <w:tcBorders>
              <w:top w:val="single" w:color="BFBFBF" w:sz="4"/>
              <w:left w:val="single" w:color="BFBFBF" w:sz="4"/>
              <w:bottom w:val="single" w:color="BFBFBF" w:sz="4"/>
              <w:right w:val="single" w:color="BFBFBF" w:sz="4"/>
            </w:tcBorders>
            <w:shd w:fill="1F4E78" w:val="clear"/>
            <w:tcMar>
              <w:top w:type="dxa" w:w="100"/>
              <w:left w:type="dxa" w:w="120"/>
              <w:bottom w:type="dxa" w:w="100"/>
              <w:right w:type="dxa" w:w="120"/>
            </w:tcMar>
          </w:tcPr>
          <w:p>
            <w:pPr>
              <w:jc w:val="center"/>
            </w:pPr>
            <w:r>
              <w:rPr>
                <w:rFonts w:ascii="Arial" w:cs="Arial" w:eastAsia="Arial" w:hAnsi="Arial"/>
                <w:b/>
                <w:bCs/>
                <w:color w:val="FFFFFF"/>
                <w:sz w:val="18"/>
                <w:szCs w:val="18"/>
              </w:rPr>
              <w:t xml:space="preserve">Verdict</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Baseline</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Default assumptions</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$167B</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PASSES</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High demand</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Utilization rises to 50%</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$209B</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STRESSED</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Slow workforce</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Graduation rate 50% lower</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$167B</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STRESSED</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Psych gap persists</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Workforce gap doesn't close</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$167B</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STRESSED</w:t>
            </w:r>
          </w:p>
        </w:tc>
      </w:tr>
      <w:tr>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Compound adverse</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High demand + slow workforce</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$209B</w:t>
            </w:r>
          </w:p>
        </w:tc>
        <w:tc>
          <w:tcPr>
            <w:tcW w:type="dxa" w:w="2250"/>
            <w:tcBorders>
              <w:top w:val="single" w:color="BFBFBF" w:sz="4"/>
              <w:left w:val="single" w:color="BFBFBF" w:sz="4"/>
              <w:bottom w:val="single" w:color="BFBFBF" w:sz="4"/>
              <w:right w:val="single" w:color="BFBFBF" w:sz="4"/>
            </w:tcBorders>
            <w:shd w:fill="FFFFFF"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BROKEN</w:t>
            </w:r>
          </w:p>
        </w:tc>
      </w:tr>
      <w:tr>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left"/>
            </w:pPr>
            <w:r>
              <w:rPr>
                <w:rFonts w:ascii="Georgia" w:cs="Georgia" w:eastAsia="Georgia" w:hAnsi="Georgia"/>
                <w:color w:val="1A1A1A"/>
                <w:sz w:val="20"/>
                <w:szCs w:val="20"/>
              </w:rPr>
              <w:t xml:space="preserve">Cost overrun</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Avg cost per visit +30%</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$217B</w:t>
            </w:r>
          </w:p>
        </w:tc>
        <w:tc>
          <w:tcPr>
            <w:tcW w:type="dxa" w:w="2250"/>
            <w:tcBorders>
              <w:top w:val="single" w:color="BFBFBF" w:sz="4"/>
              <w:left w:val="single" w:color="BFBFBF" w:sz="4"/>
              <w:bottom w:val="single" w:color="BFBFBF" w:sz="4"/>
              <w:right w:val="single" w:color="BFBFBF" w:sz="4"/>
            </w:tcBorders>
            <w:shd w:fill="F5F5F5" w:val="clear"/>
            <w:tcMar>
              <w:top w:type="dxa" w:w="80"/>
              <w:left w:type="dxa" w:w="120"/>
              <w:bottom w:type="dxa" w:w="80"/>
              <w:right w:type="dxa" w:w="120"/>
            </w:tcMar>
          </w:tcPr>
          <w:p>
            <w:pPr>
              <w:jc w:val="right"/>
            </w:pPr>
            <w:r>
              <w:rPr>
                <w:rFonts w:ascii="Georgia" w:cs="Georgia" w:eastAsia="Georgia" w:hAnsi="Georgia"/>
                <w:color w:val="1A1A1A"/>
                <w:sz w:val="20"/>
                <w:szCs w:val="20"/>
              </w:rPr>
              <w:t xml:space="preserve">STRESSED</w:t>
            </w:r>
          </w:p>
        </w:tc>
      </w:tr>
    </w:tbl>
    <w:p>
      <w:pPr>
        <w:spacing w:after="240"/>
      </w:pPr>
      <w:r>
        <w:t xml:space="preserve"/>
      </w:r>
    </w:p>
    <w:p>
      <w:pPr>
        <w:spacing w:after="200" w:line="320"/>
        <w:jc w:val="both"/>
      </w:pPr>
      <w:r>
        <w:rPr>
          <w:rFonts w:ascii="Georgia" w:cs="Georgia" w:eastAsia="Georgia" w:hAnsi="Georgia"/>
          <w:color w:val="1A1A1A"/>
          <w:sz w:val="22"/>
          <w:szCs w:val="22"/>
        </w:rPr>
        <w:t xml:space="preserve">Baseline passes. Most adverse single-variable scenarios result in stressed but survivable conditions. The compound adverse scenario (high demand combined with slow workforce growth) breaks the architecture without intervention. This is consistent with the broader v2.0 stress-testing pattern: the platform's architecture is robust to most adverse single-variable shocks but vulnerable to compound shocks that combine multiple stresses.</w:t>
      </w:r>
    </w:p>
    <w:p>
      <w:pPr>
        <w:pStyle w:val="Heading2"/>
        <w:spacing w:after="160" w:before="360"/>
      </w:pPr>
      <w:r>
        <w:rPr>
          <w:rFonts w:ascii="Arial" w:cs="Arial" w:eastAsia="Arial" w:hAnsi="Arial"/>
          <w:b/>
          <w:bCs/>
          <w:color w:val="1F4E78"/>
          <w:sz w:val="28"/>
          <w:szCs w:val="28"/>
        </w:rPr>
        <w:t xml:space="preserve">Mitigations by Scenario</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F4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Specific mitigations for each stress scenario</w:t>
            </w:r>
          </w:p>
          <w:p>
            <w:pPr>
              <w:spacing w:after="100" w:line="280"/>
            </w:pPr>
            <w:r>
              <w:rPr>
                <w:rFonts w:ascii="Georgia" w:cs="Georgia" w:eastAsia="Georgia" w:hAnsi="Georgia"/>
                <w:color w:val="1A1A1A"/>
                <w:sz w:val="21"/>
                <w:szCs w:val="21"/>
              </w:rPr>
              <w:t xml:space="preserve">•  Higher utilization (50% rather than 40%): expand workforce development funding 50%, accelerate telehealth integration adoption, consider modest co-pays ($10-25 per visit) to manage demand without creating access barriers for low-income populations. Co-pays are not preferred but may be necessary if demand substantially exceeds workforce capacity.</w:t>
            </w:r>
          </w:p>
          <w:p>
            <w:pPr>
              <w:spacing w:after="100" w:line="280"/>
            </w:pPr>
            <w:r>
              <w:rPr>
                <w:rFonts w:ascii="Georgia" w:cs="Georgia" w:eastAsia="Georgia" w:hAnsi="Georgia"/>
                <w:color w:val="1A1A1A"/>
                <w:sz w:val="21"/>
                <w:szCs w:val="21"/>
              </w:rPr>
              <w:t xml:space="preserve">•  Slow workforce growth: accelerate PMHNP scope-of-practice expansion in restrictive states, expand foreign credential recognition pathways, increase residency slot funding (currently CMS-capped through Graduate Medical Education limits). Pursue Congressional action to lift residency caps as part of broader workforce policy.</w:t>
            </w:r>
          </w:p>
          <w:p>
            <w:pPr>
              <w:spacing w:after="100" w:line="280"/>
            </w:pPr>
            <w:r>
              <w:rPr>
                <w:rFonts w:ascii="Georgia" w:cs="Georgia" w:eastAsia="Georgia" w:hAnsi="Georgia"/>
                <w:color w:val="1A1A1A"/>
                <w:sz w:val="21"/>
                <w:szCs w:val="21"/>
              </w:rPr>
              <w:t xml:space="preserve">•  Persistent psychiatrist gap: shift more medication management to PMHNPs and primary care via collaborative care models, expand pharmacist authority for routine refills under standing orders, leverage telehealth for psychiatric consultation across geographic areas.</w:t>
            </w:r>
          </w:p>
          <w:p>
            <w:pPr>
              <w:spacing w:after="100" w:line="280"/>
            </w:pPr>
            <w:r>
              <w:rPr>
                <w:rFonts w:ascii="Georgia" w:cs="Georgia" w:eastAsia="Georgia" w:hAnsi="Georgia"/>
                <w:color w:val="1A1A1A"/>
                <w:sz w:val="21"/>
                <w:szCs w:val="21"/>
              </w:rPr>
              <w:t xml:space="preserve">•  Compound adverse scenario: implement above mitigations together, plus extend buildout from 15 to 20 years to manage workforce constraints. Honest acknowledgment that universal access at 50% utilization with severely constrained workforce growth requires longer timeline.</w:t>
            </w:r>
          </w:p>
          <w:p>
            <w:pPr>
              <w:spacing w:after="100" w:line="280"/>
            </w:pPr>
            <w:r>
              <w:rPr>
                <w:rFonts w:ascii="Georgia" w:cs="Georgia" w:eastAsia="Georgia" w:hAnsi="Georgia"/>
                <w:color w:val="1A1A1A"/>
                <w:sz w:val="21"/>
                <w:szCs w:val="21"/>
              </w:rPr>
              <w:t xml:space="preserve">•  Cost overrun: contracted rates negotiation under universal-access leverage (similar to healthcare transition plan), generic-first medication policies for routine prescriptions, emphasis on group therapy where clinically appropriate, technology-enabled brief interventions for mild conditions.</w:t>
            </w:r>
          </w:p>
        </w:tc>
      </w:tr>
    </w:tbl>
    <w:p>
      <w:pPr>
        <w:pStyle w:val="Heading2"/>
        <w:spacing w:after="160" w:before="360"/>
      </w:pPr>
      <w:r>
        <w:rPr>
          <w:rFonts w:ascii="Arial" w:cs="Arial" w:eastAsia="Arial" w:hAnsi="Arial"/>
          <w:b/>
          <w:bCs/>
          <w:color w:val="1F4E78"/>
          <w:sz w:val="28"/>
          <w:szCs w:val="28"/>
        </w:rPr>
        <w:t xml:space="preserve">What Stress Testing Reveals</w:t>
      </w:r>
    </w:p>
    <w:p>
      <w:pPr>
        <w:spacing w:after="200" w:line="320"/>
        <w:jc w:val="both"/>
      </w:pPr>
      <w:r>
        <w:rPr>
          <w:rFonts w:ascii="Georgia" w:cs="Georgia" w:eastAsia="Georgia" w:hAnsi="Georgia"/>
          <w:color w:val="1A1A1A"/>
          <w:sz w:val="22"/>
          <w:szCs w:val="22"/>
        </w:rPr>
        <w:t xml:space="preserve">The stress tests illuminate where the architecture's resilience comes from and where its vulnerabilities are. The funding mechanism is robust: payroll-based contributions of 0.8% combined ($104B) plus continued federal spending ($104B) total $208B — substantially more than the baseline $167B program cost, providing buffer for cost overruns or higher utilization. Even the compound adverse scenario at $209B is essentially at funding capacity rather than catastrophically over.</w:t>
      </w:r>
    </w:p>
    <w:p>
      <w:pPr>
        <w:spacing w:after="200" w:line="320"/>
        <w:jc w:val="both"/>
      </w:pPr>
      <w:r>
        <w:rPr>
          <w:rFonts w:ascii="Georgia" w:cs="Georgia" w:eastAsia="Georgia" w:hAnsi="Georgia"/>
          <w:color w:val="1A1A1A"/>
          <w:sz w:val="22"/>
          <w:szCs w:val="22"/>
        </w:rPr>
        <w:t xml:space="preserve">The workforce mechanism is the architecture's structural vulnerability. Funding adequacy doesn't matter if patients cannot access providers. The architecture passes when workforce expansion, telehealth integration, and collaborative care all work as designed. It breaks when workforce growth is substantially slower than projected (suggesting policy changes around training pipeline didn't materialize) combined with higher demand than projected. This is the failure mode worth most attention.</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“Funding adequacy is robust across scenarios. Workforce adequacy is the structural vulnerability. The platform's mental health architecture stands or falls primarily on whether the workforce mitigations — PMHNP expansion, telehealth integration, collaborative care, redistribution — actually materialize together rather than in isolation.”</w:t>
            </w:r>
          </w:p>
        </w:tc>
      </w:tr>
    </w:tbl>
    <w:p>
      <w:r>
        <w:br w:type="page"/>
      </w:r>
    </w:p>
    <w:p>
      <w:pPr>
        <w:pStyle w:val="Heading1"/>
        <w:spacing w:after="240" w:before="480"/>
      </w:pPr>
      <w:r>
        <w:rPr>
          <w:rFonts w:ascii="Arial" w:cs="Arial" w:eastAsia="Arial" w:hAnsi="Arial"/>
          <w:b/>
          <w:bCs/>
          <w:color w:val="1F4E78"/>
          <w:sz w:val="36"/>
          <w:szCs w:val="36"/>
        </w:rPr>
        <w:t xml:space="preserve">Honest Acknowledgments and What Remains Unresolved</w:t>
      </w:r>
    </w:p>
    <w:p>
      <w:pPr>
        <w:spacing w:after="240" w:line="340"/>
        <w:jc w:val="both"/>
      </w:pPr>
      <w:r>
        <w:rPr>
          <w:rFonts w:ascii="Georgia" w:cs="Georgia" w:eastAsia="Georgia" w:hAnsi="Georgia"/>
          <w:color w:val="1A1A1A"/>
          <w:sz w:val="24"/>
          <w:szCs w:val="24"/>
        </w:rPr>
        <w:t xml:space="preserve">This document substantiates the Universal Mental Health Access pillar with the depth that childcare and healthcare reached in v2.0. The substantiation answers the operational feasibility question that the original mathematical model couldn't fully address. It also surfaces real limitations the platform should be honest about.</w:t>
      </w:r>
    </w:p>
    <w:p>
      <w:pPr>
        <w:pStyle w:val="Heading2"/>
        <w:spacing w:after="160" w:before="360"/>
      </w:pPr>
      <w:r>
        <w:rPr>
          <w:rFonts w:ascii="Arial" w:cs="Arial" w:eastAsia="Arial" w:hAnsi="Arial"/>
          <w:b/>
          <w:bCs/>
          <w:color w:val="1F4E78"/>
          <w:sz w:val="28"/>
          <w:szCs w:val="28"/>
        </w:rPr>
        <w:t xml:space="preserve">What This Substantiation Establishes</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EAF2EE"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What the platform now claims with substantive support</w:t>
            </w:r>
          </w:p>
          <w:p>
            <w:pPr>
              <w:spacing w:after="100" w:line="280"/>
            </w:pPr>
            <w:r>
              <w:rPr>
                <w:rFonts w:ascii="Georgia" w:cs="Georgia" w:eastAsia="Georgia" w:hAnsi="Georgia"/>
                <w:color w:val="1A1A1A"/>
                <w:sz w:val="21"/>
                <w:szCs w:val="21"/>
              </w:rPr>
              <w:t xml:space="preserve">•  Universal mental health access at 40% utilization is fiscally viable: $113B in service costs, funded by ~$104B in payroll contributions plus ~$104B in existing federal spending, leaves the system with surplus.</w:t>
            </w:r>
          </w:p>
          <w:p>
            <w:pPr>
              <w:spacing w:after="100" w:line="280"/>
            </w:pPr>
            <w:r>
              <w:rPr>
                <w:rFonts w:ascii="Georgia" w:cs="Georgia" w:eastAsia="Georgia" w:hAnsi="Georgia"/>
                <w:color w:val="1A1A1A"/>
                <w:sz w:val="21"/>
                <w:szCs w:val="21"/>
              </w:rPr>
              <w:t xml:space="preserve">•  Workforce capacity is operationally feasible by Year 8-12 through combined PMHNP expansion, workforce redistribution (shifting existing surplus from non-clinical to clinical specialty), telehealth integration (1.5-2.5x capacity multiplier), and collaborative care integration with primary care.</w:t>
            </w:r>
          </w:p>
          <w:p>
            <w:pPr>
              <w:spacing w:after="100" w:line="280"/>
            </w:pPr>
            <w:r>
              <w:rPr>
                <w:rFonts w:ascii="Georgia" w:cs="Georgia" w:eastAsia="Georgia" w:hAnsi="Georgia"/>
                <w:color w:val="1A1A1A"/>
                <w:sz w:val="21"/>
                <w:szCs w:val="21"/>
              </w:rPr>
              <w:t xml:space="preserve">•  Geographic access improves substantially: urban areas reach near-universal access, suburban areas approach near-universal, rural areas close 60-80% of the gap, frontier areas close approximately 30%.</w:t>
            </w:r>
          </w:p>
          <w:p>
            <w:pPr>
              <w:spacing w:after="100" w:line="280"/>
            </w:pPr>
            <w:r>
              <w:rPr>
                <w:rFonts w:ascii="Georgia" w:cs="Georgia" w:eastAsia="Georgia" w:hAnsi="Georgia"/>
                <w:color w:val="1A1A1A"/>
                <w:sz w:val="21"/>
                <w:szCs w:val="21"/>
              </w:rPr>
              <w:t xml:space="preserve">•  Service category differentiation makes workforce planning realistic: psychiatric medication management has the most acute workforce constraint, but it is also the service that benefits most from telehealth (2.5x multiplier) and PMHNP substitution.</w:t>
            </w:r>
          </w:p>
          <w:p>
            <w:pPr>
              <w:spacing w:after="100" w:line="280"/>
            </w:pPr>
            <w:r>
              <w:rPr>
                <w:rFonts w:ascii="Georgia" w:cs="Georgia" w:eastAsia="Georgia" w:hAnsi="Georgia"/>
                <w:color w:val="1A1A1A"/>
                <w:sz w:val="21"/>
                <w:szCs w:val="21"/>
              </w:rPr>
              <w:t xml:space="preserve">•  Stress tests confirm robustness to most adverse single-variable shocks; compound adverse scenarios require timeline extension and intensified mitigation.</w:t>
            </w:r>
          </w:p>
        </w:tc>
      </w:tr>
    </w:tbl>
    <w:p>
      <w:pPr>
        <w:pStyle w:val="Heading2"/>
        <w:spacing w:after="160" w:before="360"/>
      </w:pPr>
      <w:r>
        <w:rPr>
          <w:rFonts w:ascii="Arial" w:cs="Arial" w:eastAsia="Arial" w:hAnsi="Arial"/>
          <w:b/>
          <w:bCs/>
          <w:color w:val="1F4E78"/>
          <w:sz w:val="28"/>
          <w:szCs w:val="28"/>
        </w:rPr>
        <w:t xml:space="preserve">What Remains Unresolved</w:t>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single" w:color="BFBFBF" w:sz="4"/>
              <w:left w:val="single" w:color="BFBFBF" w:sz="4"/>
              <w:bottom w:val="single" w:color="BFBFBF" w:sz="4"/>
              <w:right w:val="single" w:color="BFBFBF" w:sz="4"/>
            </w:tcBorders>
            <w:shd w:fill="F8E8E8" w:val="clear"/>
            <w:tcMar>
              <w:top w:type="dxa" w:w="200"/>
              <w:left w:type="dxa" w:w="280"/>
              <w:bottom w:type="dxa" w:w="200"/>
              <w:right w:type="dxa" w:w="280"/>
            </w:tcMar>
          </w:tcPr>
          <w:p>
            <w:pPr>
              <w:spacing w:after="120"/>
            </w:pPr>
            <w:r>
              <w:rPr>
                <w:rFonts w:ascii="Arial" w:cs="Arial" w:eastAsia="Arial" w:hAnsi="Arial"/>
                <w:b/>
                <w:bCs/>
                <w:caps/>
                <w:color w:val="1F4E78"/>
                <w:sz w:val="18"/>
                <w:szCs w:val="18"/>
              </w:rPr>
              <w:t xml:space="preserve">Honest limits the substantiation doesn't eliminate</w:t>
            </w:r>
          </w:p>
          <w:p>
            <w:pPr>
              <w:spacing w:after="100" w:line="280"/>
            </w:pPr>
            <w:r>
              <w:rPr>
                <w:rFonts w:ascii="Georgia" w:cs="Georgia" w:eastAsia="Georgia" w:hAnsi="Georgia"/>
                <w:color w:val="1A1A1A"/>
                <w:sz w:val="21"/>
                <w:szCs w:val="21"/>
              </w:rPr>
              <w:t xml:space="preserve">•  Frontier and remote rural areas will have access gaps for decades despite all mitigations. The platform commits to substantial improvement, not complete elimination.</w:t>
            </w:r>
          </w:p>
          <w:p>
            <w:pPr>
              <w:spacing w:after="100" w:line="280"/>
            </w:pPr>
            <w:r>
              <w:rPr>
                <w:rFonts w:ascii="Georgia" w:cs="Georgia" w:eastAsia="Georgia" w:hAnsi="Georgia"/>
                <w:color w:val="1A1A1A"/>
                <w:sz w:val="21"/>
                <w:szCs w:val="21"/>
              </w:rPr>
              <w:t xml:space="preserve">•  Cultural and linguistic competency in the workforce is inadequate to serve a culturally diverse American population. Workforce expansion programs must explicitly address this; they cannot rely on aggregate workforce numbers alone.</w:t>
            </w:r>
          </w:p>
          <w:p>
            <w:pPr>
              <w:spacing w:after="100" w:line="280"/>
            </w:pPr>
            <w:r>
              <w:rPr>
                <w:rFonts w:ascii="Georgia" w:cs="Georgia" w:eastAsia="Georgia" w:hAnsi="Georgia"/>
                <w:color w:val="1A1A1A"/>
                <w:sz w:val="21"/>
                <w:szCs w:val="21"/>
              </w:rPr>
              <w:t xml:space="preserve">•  Severe mental illness (schizophrenia, severe bipolar, treatment-resistant depression) requires intensive specialty care that even universal access funding cannot fully expand to meet need. Inpatient psychiatric capacity is severely limited; the platform cannot rapidly expand it.</w:t>
            </w:r>
          </w:p>
          <w:p>
            <w:pPr>
              <w:spacing w:after="100" w:line="280"/>
            </w:pPr>
            <w:r>
              <w:rPr>
                <w:rFonts w:ascii="Georgia" w:cs="Georgia" w:eastAsia="Georgia" w:hAnsi="Georgia"/>
                <w:color w:val="1A1A1A"/>
                <w:sz w:val="21"/>
                <w:szCs w:val="21"/>
              </w:rPr>
              <w:t xml:space="preserve">•  Substance use disorders overlap with mental health but have distinctive treatment needs (medication-assisted treatment, residential rehabilitation, harm reduction services). The platform's mental health pillar partially addresses substance use but doesn't fully substitute for substance-use-specific programs.</w:t>
            </w:r>
          </w:p>
          <w:p>
            <w:pPr>
              <w:spacing w:after="100" w:line="280"/>
            </w:pPr>
            <w:r>
              <w:rPr>
                <w:rFonts w:ascii="Georgia" w:cs="Georgia" w:eastAsia="Georgia" w:hAnsi="Georgia"/>
                <w:color w:val="1A1A1A"/>
                <w:sz w:val="21"/>
                <w:szCs w:val="21"/>
              </w:rPr>
              <w:t xml:space="preserve">•  Quality of care varies enormously across providers and settings. Universal access funding doesn't automatically produce universal quality. Quality improvement requires separate work that the platform identifies but doesn't fully resolve.</w:t>
            </w:r>
          </w:p>
          <w:p>
            <w:pPr>
              <w:spacing w:after="100" w:line="280"/>
            </w:pPr>
            <w:r>
              <w:rPr>
                <w:rFonts w:ascii="Georgia" w:cs="Georgia" w:eastAsia="Georgia" w:hAnsi="Georgia"/>
                <w:color w:val="1A1A1A"/>
                <w:sz w:val="21"/>
                <w:szCs w:val="21"/>
              </w:rPr>
              <w:t xml:space="preserve">•  Children and adolescent mental health has distinctive needs (school-based services, family therapy, developmental considerations) that this analysis treats less explicitly than adult services. A separate substantiation document for child and adolescent mental health would be appropriate.</w:t>
            </w:r>
          </w:p>
          <w:p>
            <w:pPr>
              <w:spacing w:after="100" w:line="280"/>
            </w:pPr>
            <w:r>
              <w:rPr>
                <w:rFonts w:ascii="Georgia" w:cs="Georgia" w:eastAsia="Georgia" w:hAnsi="Georgia"/>
                <w:color w:val="1A1A1A"/>
                <w:sz w:val="21"/>
                <w:szCs w:val="21"/>
              </w:rPr>
              <w:t xml:space="preserve">•  Mental health workforce burnout is severe; the platform's expanded utilization could worsen this without specific interventions for provider wellbeing.</w:t>
            </w:r>
          </w:p>
        </w:tc>
      </w:tr>
    </w:tbl>
    <w:p>
      <w:pPr>
        <w:pStyle w:val="Heading2"/>
        <w:spacing w:after="160" w:before="360"/>
      </w:pPr>
      <w:r>
        <w:rPr>
          <w:rFonts w:ascii="Arial" w:cs="Arial" w:eastAsia="Arial" w:hAnsi="Arial"/>
          <w:b/>
          <w:bCs/>
          <w:color w:val="1F4E78"/>
          <w:sz w:val="28"/>
          <w:szCs w:val="28"/>
        </w:rPr>
        <w:t xml:space="preserve">What This Means for the Platform</w:t>
      </w:r>
    </w:p>
    <w:p>
      <w:pPr>
        <w:spacing w:after="200" w:line="320"/>
        <w:jc w:val="both"/>
      </w:pPr>
      <w:r>
        <w:rPr>
          <w:rFonts w:ascii="Georgia" w:cs="Georgia" w:eastAsia="Georgia" w:hAnsi="Georgia"/>
          <w:color w:val="1A1A1A"/>
          <w:sz w:val="22"/>
          <w:szCs w:val="22"/>
        </w:rPr>
        <w:t xml:space="preserve">Universal Mental Health Access moves from concept-level pillar to substantively defended pillar in this version. The operational feasibility question — can the platform actually deliver universal access given the workforce constraint? — has a substantive answer: yes, through combined workforce expansion, redistribution, telehealth integration, collaborative care, and parity enforcement, with timeline of 8-12 years for operational adequacy and 18+ years for full universal access. The remaining limits are acknowledged honestly: geography, cultural competency, severe mental illness capacity, substance use overlap, quality variation, and provider burnout are real constraints the platform cannot fully eliminate.</w:t>
      </w:r>
    </w:p>
    <w:p>
      <w:pPr>
        <w:spacing w:after="200" w:line="320"/>
        <w:jc w:val="both"/>
      </w:pPr>
      <w:r>
        <w:rPr>
          <w:rFonts w:ascii="Georgia" w:cs="Georgia" w:eastAsia="Georgia" w:hAnsi="Georgia"/>
          <w:color w:val="1A1A1A"/>
          <w:sz w:val="22"/>
          <w:szCs w:val="22"/>
        </w:rPr>
        <w:t xml:space="preserve">The pattern this document continues parallels what was done for childcare and healthcare: take the existing concept-level work, identify where depth is missing, build substantive analysis to fill those gaps, and acknowledge what remains unresolved. The same pattern remains available for the other concept-level pillars (Civic Infrastructure, Future Capacity Fund, Proof-of-Concept Fund) and for any future questions or external reviews that surface specific concerns.</w:t>
      </w:r>
    </w:p>
    <w:p>
      <w:pPr>
        <w:pStyle w:val="Heading2"/>
        <w:spacing w:after="160" w:before="360"/>
      </w:pPr>
      <w:r>
        <w:rPr>
          <w:rFonts w:ascii="Arial" w:cs="Arial" w:eastAsia="Arial" w:hAnsi="Arial"/>
          <w:b/>
          <w:bCs/>
          <w:color w:val="1F4E78"/>
          <w:sz w:val="28"/>
          <w:szCs w:val="28"/>
        </w:rPr>
        <w:t xml:space="preserve">What the Platform Asks of Readers</w:t>
      </w:r>
    </w:p>
    <w:p>
      <w:pPr>
        <w:spacing w:after="200" w:line="320"/>
        <w:jc w:val="both"/>
      </w:pPr>
      <w:r>
        <w:rPr>
          <w:rFonts w:ascii="Georgia" w:cs="Georgia" w:eastAsia="Georgia" w:hAnsi="Georgia"/>
          <w:color w:val="1A1A1A"/>
          <w:sz w:val="22"/>
          <w:szCs w:val="22"/>
        </w:rPr>
        <w:t xml:space="preserve">Readers who find the substantiation compelling are invited to engage with specific elements: the workforce expansion mathematics (does the PMHNP and redistribution analysis hold?), the telehealth integration assumptions (is the 1.5-2.5x multiplier supported by evidence?), the geographic distribution analysis (do the rural and frontier mitigations work?), the parity enforcement framework (is it adequate?), and the collaborative care implementation (is it operationally feasible at this scale?). Readers with mental health policy expertise, clinical practice experience, or workforce development backgrounds will likely identify refinements the platform should incorporate.</w:t>
      </w:r>
    </w:p>
    <w:p>
      <w:pPr>
        <w:spacing w:after="200" w:line="320"/>
        <w:jc w:val="both"/>
      </w:pPr>
      <w:r>
        <w:rPr>
          <w:rFonts w:ascii="Georgia" w:cs="Georgia" w:eastAsia="Georgia" w:hAnsi="Georgia"/>
          <w:color w:val="1A1A1A"/>
          <w:sz w:val="22"/>
          <w:szCs w:val="22"/>
        </w:rPr>
        <w:t xml:space="preserve">Readers who find specific elements inadequate are invited to engage with what would make them adequate. The platform's commitment continues: take serious questions seriously, articulate specific responses, identify what additional work would help, and acknowledge what remains beyond the platform's scope. Universal Mental Health Access substantiation is one specific instance of that commitment. Other pillars and other questions will produce other instances.</w:t>
      </w:r>
    </w:p>
    <w:p>
      <w:pPr>
        <w:spacing w:after="400"/>
      </w:pPr>
      <w:r>
        <w:t xml:space="preserve"/>
      </w:r>
    </w:p>
    <w:tbl>
      <w:tblPr>
        <w:tblW w:type="dxa" w:w="9000"/>
        <w:tblBorders>
          <w:top w:val="single" w:color="auto" w:sz="4"/>
          <w:left w:val="single" w:color="auto" w:sz="4"/>
          <w:bottom w:val="single" w:color="auto" w:sz="4"/>
          <w:right w:val="single" w:color="auto" w:sz="4"/>
          <w:insideH w:val="single" w:color="auto" w:sz="4"/>
          <w:insideV w:val="single" w:color="auto" w:sz="4"/>
        </w:tblBorders>
      </w:tblPr>
      <w:tblGrid>
        <w:gridCol w:w="9000"/>
      </w:tblGrid>
      <w:tr>
        <w:tc>
          <w:tcPr>
            <w:tcW w:type="dxa" w:w="9000"/>
            <w:tcBorders>
              <w:top w:val="none"/>
              <w:left w:val="single" w:color="C00000" w:sz="24"/>
              <w:bottom w:val="none"/>
              <w:right w:val="none"/>
            </w:tcBorders>
            <w:tcMar>
              <w:top w:type="dxa" w:w="200"/>
              <w:left w:type="dxa" w:w="360"/>
              <w:bottom w:type="dxa" w:w="200"/>
              <w:right w:type="dxa" w:w="240"/>
            </w:tcMar>
          </w:tcPr>
          <w:p>
            <w:pPr>
              <w:spacing w:line="320"/>
            </w:pPr>
            <w:r>
              <w:rPr>
                <w:rFonts w:ascii="Georgia" w:cs="Georgia" w:eastAsia="Georgia" w:hAnsi="Georgia"/>
                <w:i/>
                <w:iCs/>
                <w:color w:val="1F4E78"/>
                <w:sz w:val="26"/>
                <w:szCs w:val="26"/>
              </w:rPr>
              <w:t xml:space="preserve">“The original mental health model demonstrated fiscal viability in approximately 30 cells of an Excel spreadsheet. This substantiation document and the expanded model demonstrate operational feasibility through 357 formulas across 10 sheets and 22 pages of framing analysis. The pillar has graduated from concept-level to substantively defended.”</w:t>
            </w:r>
          </w:p>
        </w:tc>
      </w:tr>
    </w:tbl>
    <w:p>
      <w:pPr>
        <w:spacing w:after="400"/>
      </w:pPr>
      <w:r>
        <w:t xml:space="preserve"/>
      </w:r>
    </w:p>
    <w:p>
      <w:pPr>
        <w:spacing w:after="100"/>
        <w:jc w:val="center"/>
      </w:pPr>
      <w:r>
        <w:rPr>
          <w:rFonts w:ascii="Georgia" w:cs="Georgia" w:eastAsia="Georgia" w:hAnsi="Georgia"/>
          <w:b/>
          <w:bCs/>
          <w:color w:val="1A1A1A"/>
          <w:sz w:val="24"/>
          <w:szCs w:val="24"/>
        </w:rPr>
        <w:t xml:space="preserve">Jason Robertson</w:t>
      </w:r>
    </w:p>
    <w:p>
      <w:pPr>
        <w:jc w:val="center"/>
      </w:pPr>
      <w:r>
        <w:rPr>
          <w:rFonts w:ascii="Georgia" w:cs="Georgia" w:eastAsia="Georgia" w:hAnsi="Georgia"/>
          <w:i/>
          <w:iCs/>
          <w:color w:val="595959"/>
          <w:sz w:val="22"/>
          <w:szCs w:val="22"/>
        </w:rPr>
        <w:t xml:space="preserve">Ohio, May 4, 2026</w:t>
      </w:r>
    </w:p>
    <w:sectPr>
      <w:headerReference w:type="default" r:id="rId7"/>
      <w:footerReference w:type="default" r:id="rId8"/>
      <w:pgSz w:w="12240" w:h="15840" w:orient="portrait"/>
      <w:pgMar w:top="1620" w:right="1440" w:bottom="162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W w:type="dxa" w:w="9000"/>
      <w:tblBorders>
        <w:top w:val="none"/>
        <w:left w:val="none"/>
        <w:bottom w:val="none"/>
        <w:right w:val="none"/>
        <w:insideH w:val="none"/>
        <w:insideV w:val="none"/>
      </w:tblBorders>
    </w:tblPr>
    <w:tblGrid>
      <w:gridCol w:w="3000"/>
      <w:gridCol w:w="3000"/>
      <w:gridCol w:w="3000"/>
    </w:tblGrid>
    <w:tr>
      <w:tc>
        <w:tcPr>
          <w:tcW w:type="dxa" w:w="3000"/>
          <w:tcBorders>
            <w:top w:val="none"/>
            <w:left w:val="none"/>
            <w:bottom w:val="none"/>
            <w:right w:val="none"/>
          </w:tcBorders>
        </w:tcPr>
        <w:p>
          <w:pPr>
            <w:jc w:val="left"/>
          </w:pPr>
          <w:r>
            <w:rPr>
              <w:rFonts w:ascii="Arial" w:cs="Arial" w:eastAsia="Arial" w:hAnsi="Arial"/>
              <w:color w:val="595959"/>
              <w:sz w:val="16"/>
              <w:szCs w:val="16"/>
            </w:rPr>
            <w:t xml:space="preserve">MH Substantiation · v1.0</w:t>
          </w:r>
        </w:p>
      </w:tc>
      <w:tc>
        <w:tcPr>
          <w:tcW w:type="dxa" w:w="3000"/>
          <w:tcBorders>
            <w:top w:val="none"/>
            <w:left w:val="none"/>
            <w:bottom w:val="none"/>
            <w:right w:val="none"/>
          </w:tcBorders>
        </w:tcPr>
        <w:p>
          <w:pPr>
            <w:jc w:val="center"/>
          </w:pPr>
          <w:r>
            <w:rPr>
              <w:rFonts w:ascii="Arial" w:cs="Arial" w:eastAsia="Arial" w:hAnsi="Arial"/>
              <w:color w:val="595959"/>
              <w:sz w:val="16"/>
              <w:szCs w:val="16"/>
            </w:rPr>
            <w:t xml:space="preserve">Page </w:t>
          </w:r>
          <w:r>
            <w:rPr>
              <w:rFonts w:ascii="Arial" w:cs="Arial" w:eastAsia="Arial" w:hAnsi="Arial"/>
              <w:color w:val="595959"/>
              <w:sz w:val="16"/>
              <w:szCs w:val="16"/>
            </w:rPr>
            <w:fldChar w:fldCharType="begin"/>
            <w:instrText xml:space="preserve">PAGE</w:instrText>
            <w:fldChar w:fldCharType="separate"/>
            <w:fldChar w:fldCharType="end"/>
          </w:r>
        </w:p>
      </w:tc>
      <w:tc>
        <w:tcPr>
          <w:tcW w:type="dxa" w:w="3000"/>
          <w:tcBorders>
            <w:top w:val="none"/>
            <w:left w:val="none"/>
            <w:bottom w:val="none"/>
            <w:right w:val="none"/>
          </w:tcBorders>
        </w:tcPr>
        <w:p>
          <w:pPr>
            <w:jc w:val="right"/>
          </w:pPr>
          <w:r>
            <w:rPr>
              <w:rFonts w:ascii="Arial" w:cs="Arial" w:eastAsia="Arial" w:hAnsi="Arial"/>
              <w:color w:val="595959"/>
              <w:sz w:val="16"/>
              <w:szCs w:val="16"/>
            </w:rPr>
            <w:t xml:space="preserve">Updated May 4, 2026</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1F4E78" w:sz="4" w:space="4"/>
      </w:pBdr>
      <w:jc w:val="right"/>
    </w:pPr>
    <w:r>
      <w:rPr>
        <w:rFonts w:ascii="Arial" w:cs="Arial" w:eastAsia="Arial" w:hAnsi="Arial"/>
        <w:i/>
        <w:iCs/>
        <w:color w:val="595959"/>
        <w:sz w:val="18"/>
        <w:szCs w:val="18"/>
      </w:rPr>
      <w:t xml:space="preserve">Universal Mental Health Access Substantiation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A1A1A"/>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Mental Health Access Substantiation</dc:title>
  <dc:creator>Jason Robertson</dc:creator>
  <cp:lastModifiedBy>Un-named</cp:lastModifiedBy>
  <cp:revision>1</cp:revision>
  <dcterms:created xsi:type="dcterms:W3CDTF">2026-05-04T20:09:50.186Z</dcterms:created>
  <dcterms:modified xsi:type="dcterms:W3CDTF">2026-05-04T20:09:50.201Z</dcterms:modified>
</cp:coreProperties>
</file>

<file path=docProps/custom.xml><?xml version="1.0" encoding="utf-8"?>
<Properties xmlns="http://schemas.openxmlformats.org/officeDocument/2006/custom-properties" xmlns:vt="http://schemas.openxmlformats.org/officeDocument/2006/docPropsVTypes"/>
</file>