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2400"/>
      </w:pPr>
      <w:r>
        <w:t xml:space="preserve"/>
      </w:r>
    </w:p>
    <w:p>
      <w:pPr>
        <w:spacing w:after="100"/>
        <w:jc w:val="center"/>
      </w:pPr>
      <w:r>
        <w:rPr>
          <w:rFonts w:ascii="Arial" w:cs="Arial" w:eastAsia="Arial" w:hAnsi="Arial"/>
          <w:b/>
          <w:bCs/>
          <w:color w:val="1F4E78"/>
          <w:sz w:val="48"/>
          <w:szCs w:val="48"/>
        </w:rPr>
        <w:t xml:space="preserve">UNIVERSAL BROADBAND</w:t>
      </w:r>
    </w:p>
    <w:p>
      <w:pPr>
        <w:spacing w:after="200"/>
        <w:jc w:val="center"/>
      </w:pPr>
      <w:r>
        <w:rPr>
          <w:rFonts w:ascii="Arial" w:cs="Arial" w:eastAsia="Arial" w:hAnsi="Arial"/>
          <w:b/>
          <w:bCs/>
          <w:color w:val="1F4E78"/>
          <w:sz w:val="48"/>
          <w:szCs w:val="48"/>
        </w:rPr>
        <w:t xml:space="preserve">ACCESS SUBSTANTIATION</w:t>
      </w:r>
    </w:p>
    <w:p>
      <w:pPr>
        <w:spacing w:after="200"/>
        <w:jc w:val="center"/>
      </w:pPr>
      <w:r>
        <w:rPr>
          <w:rFonts w:ascii="Arial" w:cs="Arial" w:eastAsia="Arial" w:hAnsi="Arial"/>
          <w:i/>
          <w:iCs/>
          <w:color w:val="C00000"/>
          <w:sz w:val="28"/>
          <w:szCs w:val="28"/>
        </w:rPr>
        <w:t xml:space="preserve">Operationalizing Path A</w:t>
      </w:r>
    </w:p>
    <w:p>
      <w:pPr>
        <w:pBdr>
          <w:bottom w:val="single" w:color="1F4E78" w:sz="18"/>
        </w:pBdr>
        <w:spacing w:after="600"/>
        <w:jc w:val="center"/>
      </w:pPr>
      <w:r>
        <w:t xml:space="preserve"/>
      </w:r>
    </w:p>
    <w:p>
      <w:pPr>
        <w:spacing w:after="200"/>
        <w:jc w:val="center"/>
      </w:pPr>
      <w:r>
        <w:rPr>
          <w:rFonts w:ascii="Georgia" w:cs="Georgia" w:eastAsia="Georgia" w:hAnsi="Georgia"/>
          <w:i/>
          <w:iCs/>
          <w:color w:val="1A1A1A"/>
          <w:sz w:val="24"/>
          <w:szCs w:val="24"/>
        </w:rPr>
        <w:t xml:space="preserve">Free universal basic broadband to every household.</w:t>
      </w:r>
    </w:p>
    <w:p>
      <w:pPr>
        <w:spacing w:after="200"/>
        <w:jc w:val="center"/>
      </w:pPr>
      <w:r>
        <w:rPr>
          <w:rFonts w:ascii="Georgia" w:cs="Georgia" w:eastAsia="Georgia" w:hAnsi="Georgia"/>
          <w:i/>
          <w:iCs/>
          <w:color w:val="1A1A1A"/>
          <w:sz w:val="24"/>
          <w:szCs w:val="24"/>
        </w:rPr>
        <w:t xml:space="preserve">Service architecture, technology mix, workforce expansion,</w:t>
      </w:r>
    </w:p>
    <w:p>
      <w:pPr>
        <w:spacing w:after="1200"/>
        <w:jc w:val="center"/>
      </w:pPr>
      <w:r>
        <w:rPr>
          <w:rFonts w:ascii="Georgia" w:cs="Georgia" w:eastAsia="Georgia" w:hAnsi="Georgia"/>
          <w:i/>
          <w:iCs/>
          <w:color w:val="1A1A1A"/>
          <w:sz w:val="24"/>
          <w:szCs w:val="24"/>
        </w:rPr>
        <w:t xml:space="preserve">regulatory reform, buildout timeline, stress tests.</w:t>
      </w:r>
    </w:p>
    <w:p>
      <w:pPr>
        <w:spacing w:before="1200"/>
      </w:pPr>
      <w:r>
        <w:t xml:space="preserve"/>
      </w:r>
    </w:p>
    <w:p>
      <w:pPr>
        <w:spacing w:after="80"/>
        <w:jc w:val="center"/>
      </w:pPr>
      <w:r>
        <w:rPr>
          <w:rFonts w:ascii="Georgia" w:cs="Georgia" w:eastAsia="Georgia" w:hAnsi="Georgia"/>
          <w:i/>
          <w:iCs/>
          <w:color w:val="595959"/>
          <w:sz w:val="22"/>
          <w:szCs w:val="22"/>
        </w:rPr>
        <w:t xml:space="preserve">Substantiation Document for the Civic Infrastructure Pillar</w:t>
      </w:r>
    </w:p>
    <w:p>
      <w:pPr>
        <w:spacing w:after="80"/>
        <w:jc w:val="center"/>
      </w:pPr>
      <w:r>
        <w:rPr>
          <w:rFonts w:ascii="Georgia" w:cs="Georgia" w:eastAsia="Georgia" w:hAnsi="Georgia"/>
          <w:b/>
          <w:bCs/>
          <w:color w:val="1A1A1A"/>
          <w:sz w:val="24"/>
          <w:szCs w:val="24"/>
        </w:rPr>
        <w:t xml:space="preserve">Jason Robertson</w:t>
      </w:r>
    </w:p>
    <w:p>
      <w:pPr>
        <w:spacing w:before="480"/>
        <w:jc w:val="center"/>
      </w:pPr>
      <w:r>
        <w:rPr>
          <w:rFonts w:ascii="Arial" w:cs="Arial" w:eastAsia="Arial" w:hAnsi="Arial"/>
          <w:i/>
          <w:iCs/>
          <w:color w:val="595959"/>
          <w:sz w:val="16"/>
          <w:szCs w:val="16"/>
        </w:rPr>
        <w:t>v1.3  ·  Created May 4, 2026  ·  Updated May 4, 2026  ·  Updated May 6, 2026 for v2.25 (cross-reference to item 77 added)  ·  Updated May 6, 2026 for v2.26.1 (Path A → Path B architectural shift notice; USF (Universal Service Fund) Reform updated; Cost Trajectory updated)  ·  Updated May 6, 2026 for v2.26.2 (SIG-1: inline Path B note in Federal Contracting Architecture)  ·  Updated May 6, 2026 for v2.30.26 (Scam Call and Phishing Attack Reduction section added)</w:t>
      </w:r>
    </w:p>
    <w:p>
      <w:pPr>
        <w:jc w:val="center"/>
      </w:pPr>
      <w:r>
        <w:rPr>
          <w:rFonts w:ascii="Georgia" w:cs="Georgia" w:eastAsia="Georgia" w:hAnsi="Georgia"/>
          <w:color w:val="595959"/>
          <w:sz w:val="20"/>
          <w:szCs w:val="20"/>
        </w:rPr>
        <w:t xml:space="preserve">Ohio  ·  2026</w:t>
      </w:r>
    </w:p>
    <w:p>
      <w:r>
        <w:br w:type="page"/>
      </w:r>
    </w:p>
    <w:p>
      <w:pPr>
        <w:pStyle w:val="Heading1"/>
        <w:spacing w:after="240" w:before="480"/>
      </w:pPr>
      <w:r>
        <w:rPr>
          <w:rFonts w:ascii="Arial" w:cs="Arial" w:eastAsia="Arial" w:hAnsi="Arial"/>
          <w:b/>
          <w:bCs/>
          <w:color w:val="1F4E78"/>
          <w:sz w:val="36"/>
          <w:szCs w:val="36"/>
        </w:rPr>
        <w:t xml:space="preserve">Executive Summary</w:t>
      </w:r>
    </w:p>
    <w:p>
      <w:pPr>
        <w:spacing w:after="240" w:line="340"/>
        <w:jc w:val="both"/>
      </w:pPr>
      <w:r>
        <w:rPr>
          <w:rFonts w:ascii="Georgia" w:cs="Georgia" w:eastAsia="Georgia" w:hAnsi="Georgia"/>
          <w:color w:val="1A1A1A"/>
          <w:sz w:val="24"/>
          <w:szCs w:val="24"/>
        </w:rPr>
        <w:t xml:space="preserve">This document substantiates the platform's commitment to Path A: free universal basic broadband (100/20 Mbps) to every American household at no cost to the household. It articulates the service architecture, technology mix decisions, workforce expansion mathematics, federal contracting structure, regulatory reforms required, and stress-tested buildout timeline. The substantiation parallels the depth of the Universal Mental Health Access Substantiation completed in v2.2: the commitment is policy-level; this document specifies the operational design that makes the commitment deliverable.</w:t>
      </w:r>
    </w:p>
    <w:p>
      <w:pPr>
        <w:pStyle w:val="Heading2"/>
        <w:spacing w:after="160" w:before="360"/>
      </w:pPr>
      <w:r>
        <w:rPr>
          <w:rFonts w:ascii="Arial" w:cs="Arial" w:eastAsia="Arial" w:hAnsi="Arial"/>
          <w:b/>
          <w:bCs/>
          <w:color w:val="1F4E78"/>
          <w:sz w:val="28"/>
          <w:szCs w:val="28"/>
        </w:rPr>
        <w:t xml:space="preserve">The Decision Path A Made</w:t>
      </w:r>
    </w:p>
    <w:p>
      <w:pPr>
        <w:spacing w:after="200" w:line="320"/>
        <w:jc w:val="both"/>
      </w:pPr>
      <w:r>
        <w:rPr>
          <w:rFonts w:ascii="Georgia" w:cs="Georgia" w:eastAsia="Georgia" w:hAnsi="Georgia"/>
          <w:color w:val="1A1A1A"/>
          <w:sz w:val="22"/>
          <w:szCs w:val="22"/>
        </w:rPr>
        <w:t xml:space="preserve">The platform faced a structural decision between two options: Path A (free universal basic broadband, federal pays providers wholesale) or Path B (universal access plus affordability subsidy for low-income households). The Two Paths Compared analysis demonstrated both paths fit within the platform's funding envelope but differed substantially in coverage outcome (100% vs ~88%), total economic resource cost (Path A is ~$52B/year less in total resources), administrative complexity, and cross-pillar enabling effects. The Modernize American Civic Engagement integrated argument analysis demonstrated that Path A is materially stronger when paired with the platform's broader civic engagement commitments — the civic platform and return-free filing both depend on universal connectivity to deliver their universality. Path A was chosen for the platform's broadband architecture.</w:t>
      </w:r>
    </w:p>
    <w:p>
      <w:pPr>
        <w:pStyle w:val="Heading2"/>
        <w:spacing w:after="160" w:before="360"/>
      </w:pPr>
      <w:r>
        <w:rPr>
          <w:rFonts w:ascii="Arial" w:cs="Arial" w:eastAsia="Arial" w:hAnsi="Arial"/>
          <w:b/>
          <w:bCs/>
          <w:color w:val="1F4E78"/>
          <w:sz w:val="28"/>
          <w:szCs w:val="28"/>
        </w:rPr>
        <w:t xml:space="preserve">What This Substantiation Establishes</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EAF2EE"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This document substantiates Path A operationalization</w:t>
            </w:r>
          </w:p>
          <w:p>
            <w:pPr>
              <w:spacing w:after="100" w:line="280"/>
            </w:pPr>
            <w:r>
              <w:rPr>
                <w:rFonts w:ascii="Georgia" w:cs="Georgia" w:eastAsia="Georgia" w:hAnsi="Georgia"/>
                <w:color w:val="1A1A1A"/>
                <w:sz w:val="21"/>
                <w:szCs w:val="21"/>
              </w:rPr>
              <w:t xml:space="preserve">•  Service architecture: 100/20 Mbps minimum, with universal service standards binding on any provider receiving federal payment.</w:t>
            </w:r>
          </w:p>
          <w:p>
            <w:pPr>
              <w:spacing w:after="100" w:line="280"/>
            </w:pPr>
            <w:r>
              <w:rPr>
                <w:rFonts w:ascii="Georgia" w:cs="Georgia" w:eastAsia="Georgia" w:hAnsi="Georgia"/>
                <w:color w:val="1A1A1A"/>
                <w:sz w:val="21"/>
                <w:szCs w:val="21"/>
              </w:rPr>
              <w:t xml:space="preserve">•  Technology mix: fiber via rural electric cooperatives where viable (~85% of households), Fixed Wireless Access for medium-density rural (~9%), LEO satellite for frontier (~5%), public WiFi for community access (~1%).</w:t>
            </w:r>
          </w:p>
          <w:p>
            <w:pPr>
              <w:spacing w:after="100" w:line="280"/>
            </w:pPr>
            <w:r>
              <w:rPr>
                <w:rFonts w:ascii="Georgia" w:cs="Georgia" w:eastAsia="Georgia" w:hAnsi="Georgia"/>
                <w:color w:val="1A1A1A"/>
                <w:sz w:val="21"/>
                <w:szCs w:val="21"/>
              </w:rPr>
              <w:t xml:space="preserve">•  Workforce expansion: fiber installer base must expand from approximately 65,000 to 165,000 over 7 years — substantial but achievable through coordinated training pipeline expansion paralleling the coal worker retraining model.</w:t>
            </w:r>
          </w:p>
          <w:p>
            <w:pPr>
              <w:spacing w:after="100" w:line="280"/>
            </w:pPr>
            <w:r>
              <w:rPr>
                <w:rFonts w:ascii="Georgia" w:cs="Georgia" w:eastAsia="Georgia" w:hAnsi="Georgia"/>
                <w:color w:val="1A1A1A"/>
                <w:sz w:val="21"/>
                <w:szCs w:val="21"/>
              </w:rPr>
              <w:t xml:space="preserve">•  Federal contracting architecture: per-connection wholesale payment, universal service standards in contracts, cooperative and municipal preference, quality monitoring and enforcement, industry transition supports.</w:t>
            </w:r>
          </w:p>
          <w:p>
            <w:pPr>
              <w:spacing w:after="100" w:line="280"/>
            </w:pPr>
            <w:r>
              <w:rPr>
                <w:rFonts w:ascii="Georgia" w:cs="Georgia" w:eastAsia="Georgia" w:hAnsi="Georgia"/>
                <w:color w:val="1A1A1A"/>
                <w:sz w:val="21"/>
                <w:szCs w:val="21"/>
              </w:rPr>
              <w:t xml:space="preserve">•  Regulatory reform: FCC mapping reform (parcel-level rather than census-tract), pole attachment reform (one-touch make-ready as default), state-federal coordination protocols.</w:t>
            </w:r>
          </w:p>
          <w:p>
            <w:pPr>
              <w:spacing w:after="100" w:line="280"/>
            </w:pPr>
            <w:r>
              <w:rPr>
                <w:rFonts w:ascii="Georgia" w:cs="Georgia" w:eastAsia="Georgia" w:hAnsi="Georgia"/>
                <w:color w:val="1A1A1A"/>
                <w:sz w:val="21"/>
                <w:szCs w:val="21"/>
              </w:rPr>
              <w:t xml:space="preserve">•  Buildout timeline: 7 years to 100% coverage; full annual cost achieved Year 7 at approximately $50 billion.</w:t>
            </w:r>
          </w:p>
          <w:p>
            <w:pPr>
              <w:spacing w:after="100" w:line="280"/>
            </w:pPr>
            <w:r>
              <w:rPr>
                <w:rFonts w:ascii="Georgia" w:cs="Georgia" w:eastAsia="Georgia" w:hAnsi="Georgia"/>
                <w:color w:val="1A1A1A"/>
                <w:sz w:val="21"/>
                <w:szCs w:val="21"/>
              </w:rPr>
              <w:t xml:space="preserve">•  Stress test resilience: workforce constraints, cost escalation, deployment delays, combined adverse scenarios all remain within the platform's funding envelope and architectural commitments.</w:t>
            </w:r>
          </w:p>
          <w:p>
            <w:pPr>
              <w:spacing w:after="100" w:line="280"/>
            </w:pPr>
            <w:r>
              <w:rPr>
                <w:rFonts w:ascii="Georgia" w:cs="Georgia" w:eastAsia="Georgia" w:hAnsi="Georgia"/>
                <w:color w:val="1A1A1A"/>
                <w:sz w:val="21"/>
                <w:szCs w:val="21"/>
              </w:rPr>
              <w:t xml:space="preserve">•  Industry transition: existing private providers continue service delivery as federal contractors; retail margin layer shrinks but service operations and workforce maintained.</w:t>
            </w:r>
          </w:p>
        </w:tc>
      </w:tr>
    </w:tbl>
    <w:p>
      <w:pPr>
        <w:pStyle w:val="Heading2"/>
        <w:spacing w:after="160" w:before="360"/>
      </w:pPr>
      <w:r>
        <w:rPr>
          <w:rFonts w:ascii="Arial" w:cs="Arial" w:eastAsia="Arial" w:hAnsi="Arial"/>
          <w:b/>
          <w:bCs/>
          <w:color w:val="1F4E78"/>
          <w:sz w:val="28"/>
          <w:szCs w:val="28"/>
        </w:rPr>
        <w:t xml:space="preserve">Headline Findings</w:t>
      </w:r>
    </w:p>
    <w:p>
      <w:pPr>
        <w:spacing w:after="12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gridCol w:w="100"/>
      </w:tblGrid>
      <w:tr>
        <w:tc>
          <w:tcPr>
            <w:tcW w:type="dxa" w:w="30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Dimension</w:t>
            </w:r>
          </w:p>
        </w:tc>
        <w:tc>
          <w:tcPr>
            <w:tcW w:type="dxa" w:w="35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Finding</w:t>
            </w:r>
          </w:p>
        </w:tc>
        <w:tc>
          <w:tcPr>
            <w:tcW w:type="dxa" w:w="25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Verdict</w:t>
            </w:r>
          </w:p>
        </w:tc>
      </w:tr>
      <w:tr>
        <w:tc>
          <w:tcPr>
            <w:tcW w:type="dxa" w:w="30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Coverage achievable</w:t>
            </w:r>
          </w:p>
        </w:tc>
        <w:tc>
          <w:tcPr>
            <w:tcW w:type="dxa" w:w="3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100% of US households by Year 7</w:t>
            </w:r>
          </w:p>
        </w:tc>
        <w:tc>
          <w:tcPr>
            <w:tcW w:type="dxa" w:w="2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Yes</w:t>
            </w:r>
          </w:p>
        </w:tc>
      </w:tr>
      <w:tr>
        <w:tc>
          <w:tcPr>
            <w:tcW w:type="dxa" w:w="30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Annual federal cost at full deployment</w:t>
            </w:r>
          </w:p>
        </w:tc>
        <w:tc>
          <w:tcPr>
            <w:tcW w:type="dxa" w:w="3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~$50 billion</w:t>
            </w:r>
          </w:p>
        </w:tc>
        <w:tc>
          <w:tcPr>
            <w:tcW w:type="dxa" w:w="2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Within pillar envelope</w:t>
            </w:r>
          </w:p>
        </w:tc>
      </w:tr>
      <w:tr>
        <w:tc>
          <w:tcPr>
            <w:tcW w:type="dxa" w:w="30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Workforce expansion required</w:t>
            </w:r>
          </w:p>
        </w:tc>
        <w:tc>
          <w:tcPr>
            <w:tcW w:type="dxa" w:w="3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65K → 165K fiber installers over 7 years</w:t>
            </w:r>
          </w:p>
        </w:tc>
        <w:tc>
          <w:tcPr>
            <w:tcW w:type="dxa" w:w="2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Achievable with coordinated effort</w:t>
            </w:r>
          </w:p>
        </w:tc>
      </w:tr>
      <w:tr>
        <w:tc>
          <w:tcPr>
            <w:tcW w:type="dxa" w:w="30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Technology mix viability</w:t>
            </w:r>
          </w:p>
        </w:tc>
        <w:tc>
          <w:tcPr>
            <w:tcW w:type="dxa" w:w="3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85% fiber, 9% FWA, 5% satellite, 1% public</w:t>
            </w:r>
          </w:p>
        </w:tc>
        <w:tc>
          <w:tcPr>
            <w:tcW w:type="dxa" w:w="2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Each technology proven at scale</w:t>
            </w:r>
          </w:p>
        </w:tc>
      </w:tr>
      <w:tr>
        <w:tc>
          <w:tcPr>
            <w:tcW w:type="dxa" w:w="30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Regulatory reforms required</w:t>
            </w:r>
          </w:p>
        </w:tc>
        <w:tc>
          <w:tcPr>
            <w:tcW w:type="dxa" w:w="3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FCC mapping + pole attachment + workforce</w:t>
            </w:r>
          </w:p>
        </w:tc>
        <w:tc>
          <w:tcPr>
            <w:tcW w:type="dxa" w:w="2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Specific, bounded, achievable</w:t>
            </w:r>
          </w:p>
        </w:tc>
      </w:tr>
      <w:tr>
        <w:tc>
          <w:tcPr>
            <w:tcW w:type="dxa" w:w="30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Stress test resilience</w:t>
            </w:r>
          </w:p>
        </w:tc>
        <w:tc>
          <w:tcPr>
            <w:tcW w:type="dxa" w:w="3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All scenarios within envelope</w:t>
            </w:r>
          </w:p>
        </w:tc>
        <w:tc>
          <w:tcPr>
            <w:tcW w:type="dxa" w:w="2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Robust</w:t>
            </w:r>
          </w:p>
        </w:tc>
      </w:tr>
      <w:tr>
        <w:tc>
          <w:tcPr>
            <w:tcW w:type="dxa" w:w="30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Cross-pillar enabling</w:t>
            </w:r>
          </w:p>
        </w:tc>
        <w:tc>
          <w:tcPr>
            <w:tcW w:type="dxa" w:w="3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Mental health, education, Civic Technology</w:t>
            </w:r>
          </w:p>
        </w:tc>
        <w:tc>
          <w:tcPr>
            <w:tcW w:type="dxa" w:w="2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Substantially strengthens</w:t>
            </w:r>
          </w:p>
        </w:tc>
      </w:tr>
      <w:tr>
        <w:tc>
          <w:tcPr>
            <w:tcW w:type="dxa" w:w="30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Net economic resource impact vs status quo</w:t>
            </w:r>
          </w:p>
        </w:tc>
        <w:tc>
          <w:tcPr>
            <w:tcW w:type="dxa" w:w="3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+$52 billion/year savings</w:t>
            </w:r>
          </w:p>
        </w:tc>
        <w:tc>
          <w:tcPr>
            <w:tcW w:type="dxa" w:w="2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More efficient than current paid retail</w:t>
            </w:r>
          </w:p>
        </w:tc>
      </w:tr>
    </w:tbl>
    <w:p>
      <w:pPr>
        <w:spacing w:after="24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 xml:space="preserve">“The commitment is policy-level. This document specifies the operational design that makes the commitment deliverable. Workforce expansion is the binding constraint; coordinated training pipeline expansion is the answer.”</w:t>
            </w:r>
          </w:p>
        </w:tc>
      </w:tr>
    </w:tbl>
    <w:p>
      <w:r>
        <w:br w:type="page"/>
      </w:r>
    </w:p>
    <w:p>
      <w:pPr>
        <w:pStyle w:val="Heading1"/>
        <w:spacing w:after="240" w:before="480"/>
      </w:pPr>
      <w:r>
        <w:rPr>
          <w:rFonts w:ascii="Arial" w:cs="Arial" w:eastAsia="Arial" w:hAnsi="Arial"/>
          <w:b/>
          <w:bCs/>
          <w:color w:val="1F4E78"/>
          <w:sz w:val="36"/>
          <w:szCs w:val="36"/>
        </w:rPr>
        <w:t>v2.26 Architectural Shift Notice</w:t>
      </w:r>
    </w:p>
    <w:p>
      <w:pPr>
        <w:spacing w:after="240" w:line="340"/>
        <w:jc w:val="both"/>
      </w:pPr>
      <w:r>
        <w:rPr>
          <w:rFonts w:ascii="Georgia" w:cs="Georgia" w:eastAsia="Georgia" w:hAnsi="Georgia"/>
          <w:color w:val="1A1A1A"/>
          <w:sz w:val="24"/>
          <w:szCs w:val="24"/>
        </w:rPr>
        <w:t>This substantiation document was originally written for Path A (federal subsidy of private internet service providers, with the fiber remaining privately owned). v2.26 replaced Path A with Path B (federal ownership of the fiber and cellular gap infrastructure, with companies paying an infrastructure fee for using the federally-owned infrastructure). The reasoning for the shift, the cost recovery mechanism, and the thirty-year cost projection demonstrating Path B is approximately one and one-half to one and seven-tenths trillion dollars less expensive than Path A are documented in Federal Infrastructure Fee. This notice identifies which sections of the current substantiation remain valid, which sections describe the now-superseded architecture, and what readers should consult for the current Path B commitments.</w:t>
      </w:r>
    </w:p>
    <w:p>
      <w:pPr>
        <w:spacing w:after="240" w:line="340"/>
        <w:jc w:val="both"/>
      </w:pPr>
      <w:r>
        <w:rPr>
          <w:rFonts w:ascii="Georgia" w:cs="Georgia" w:eastAsia="Georgia" w:hAnsi="Georgia"/>
          <w:color w:val="1A1A1A"/>
          <w:sz w:val="24"/>
          <w:szCs w:val="24"/>
        </w:rPr>
        <w:t>What remains valid from this substantiation. Service architecture and universal service standards (the basic service standard at one hundred megabits per second downstream, twenty megabits per second upstream, the premium tier boundary, the two-channel architecture). Geographic deployment strategy and technology mix (fiber as primary, fixed wireless for medium-density rural, LEO (Low Earth Orbit) satellite for frontier areas). Workforce expansion mathematics (the workforce gap analysis, the training pipeline expansion, the federal investment in workforce expansion). Cross-pillar effects (mental health, education, healthcare, Civic Technology, wage floor). Stress tests (workforce constraint, cost escalation, deployment delays). Honest acknowledgments about workforce difficulty, regulatory reform opposition, industry disruption, and thirty-year commitment. None of these are changed by the architectural shift to Path B.</w:t>
      </w:r>
    </w:p>
    <w:p>
      <w:pPr>
        <w:spacing w:after="240" w:line="340"/>
        <w:jc w:val="both"/>
      </w:pPr>
      <w:r>
        <w:rPr>
          <w:rFonts w:ascii="Georgia" w:cs="Georgia" w:eastAsia="Georgia" w:hAnsi="Georgia"/>
          <w:color w:val="1A1A1A"/>
          <w:sz w:val="24"/>
          <w:szCs w:val="24"/>
        </w:rPr>
        <w:t>What is superseded by Path B. The federal contracting architecture section describes wholesale-payment relationships with private providers under Path A; under Path B the federal infrastructure operator owns the fiber directly and contracts with private operators to deliver retail service over federal infrastructure. The Per-Connection Wholesale Payment Structure subsection no longer applies as written; the federal infrastructure operator's payment relationships with retail providers are governed by the Federal Infrastructure Fee architecture documented in the Federal Infrastructure Fee document. The cost trajectory section describes Path A's funding model (federal subsidy of approximately forty-eight billion dollars per year); under Path B, the federal funding model is capital amortization plus operations and maintenance plus future capacity reserve, net of infrastructure fee revenue, as documented in the Federal Infrastructure Fee document Section 6.</w:t>
      </w:r>
    </w:p>
    <w:p>
      <w:pPr>
        <w:spacing w:after="240" w:line="340"/>
        <w:jc w:val="both"/>
      </w:pPr>
      <w:r>
        <w:rPr>
          <w:rFonts w:ascii="Georgia" w:cs="Georgia" w:eastAsia="Georgia" w:hAnsi="Georgia"/>
          <w:color w:val="1A1A1A"/>
          <w:sz w:val="24"/>
          <w:szCs w:val="24"/>
        </w:rPr>
        <w:t>Why the shift was made. Emergency Services Communications Modernization, added in v2.25 committed to federal ownership of cellular sites in coverage gaps and to consolidating state Emergency Services IP Network procurements into federal broadband transport. Both commitments require federal ownership of the underlying infrastructure. Path A's subsidy model was inconsistent with item 77 — federal cellular sites were federally-owned, but the underlying broadband transport for which they connect was privately-owned. v2.26 resolved this incoherence by completing the federal ownership across both broadband and cellular. The infrastructure fee mechanism makes the architectural shift cost-recoverable from the companies that benefit from the infrastructure rather than perpetually subsidized by federal taxpayers.</w:t>
      </w:r>
    </w:p>
    <w:p>
      <w:pPr>
        <w:spacing w:after="240" w:line="340"/>
        <w:jc w:val="both"/>
      </w:pPr>
      <w:r>
        <w:rPr>
          <w:rFonts w:ascii="Georgia" w:cs="Georgia" w:eastAsia="Georgia" w:hAnsi="Georgia"/>
          <w:color w:val="1A1A1A"/>
          <w:sz w:val="24"/>
          <w:szCs w:val="24"/>
        </w:rPr>
        <w:t>What readers should do. Read the rest of this substantiation for service architecture, deployment strategy, workforce mathematics, and cross-pillar effects, all of which remain accurate. For the federal contracting architecture and cost trajectory, consult Federal Infrastructure Fee which documents the Path B equivalents. The Universal Service Fund Reform section below has been updated in v2.26.1 to reflect that the Federal Infrastructure Fee replaces USF rather than reforming it. The full substantiation will be rewritten for Path B in a future major release; v2.26.1 represents the minimum updates required for documentary coherence with the v2.26 architectural shift.</w:t>
      </w:r>
    </w:p>
    <w:p>
      <w:pPr>
        <w:pStyle w:val="Heading1"/>
        <w:spacing w:after="240" w:before="480"/>
      </w:pPr>
      <w:r>
        <w:rPr>
          <w:rFonts w:ascii="Arial" w:cs="Arial" w:eastAsia="Arial" w:hAnsi="Arial"/>
          <w:b/>
          <w:bCs/>
          <w:color w:val="1F4E78"/>
          <w:sz w:val="36"/>
          <w:szCs w:val="36"/>
        </w:rPr>
        <w:t xml:space="preserve">Service Architecture and Universal Service Standards</w:t>
      </w:r>
    </w:p>
    <w:p>
      <w:pPr>
        <w:spacing w:after="240" w:line="340"/>
        <w:jc w:val="both"/>
      </w:pPr>
      <w:r>
        <w:rPr>
          <w:rFonts w:ascii="Georgia" w:cs="Georgia" w:eastAsia="Georgia" w:hAnsi="Georgia"/>
          <w:color w:val="1A1A1A"/>
          <w:sz w:val="24"/>
          <w:szCs w:val="24"/>
        </w:rPr>
        <w:t xml:space="preserve">Free universal basic broadband isn't a commitment to whatever service providers feel like delivering; it's a commitment to a specific service standard backed by enforceable contractual requirements. This section articulates the service architecture and the universal service standards every provider receiving federal payment must meet.</w:t>
      </w:r>
    </w:p>
    <w:p>
      <w:pPr>
        <w:pStyle w:val="Heading2"/>
        <w:spacing w:after="160" w:before="360"/>
      </w:pPr>
      <w:r>
        <w:rPr>
          <w:rFonts w:ascii="Arial" w:cs="Arial" w:eastAsia="Arial" w:hAnsi="Arial"/>
          <w:b/>
          <w:bCs/>
          <w:color w:val="1F4E78"/>
          <w:sz w:val="28"/>
          <w:szCs w:val="28"/>
        </w:rPr>
        <w:t xml:space="preserve">The Basic Service Standard</w:t>
      </w:r>
    </w:p>
    <w:p>
      <w:pPr>
        <w:spacing w:after="200" w:line="320"/>
        <w:jc w:val="both"/>
      </w:pPr>
      <w:r>
        <w:rPr>
          <w:rFonts w:ascii="Georgia" w:cs="Georgia" w:eastAsia="Georgia" w:hAnsi="Georgia"/>
          <w:color w:val="1A1A1A"/>
          <w:sz w:val="22"/>
          <w:szCs w:val="22"/>
        </w:rPr>
        <w:t xml:space="preserve">The platform's universal basic broadband service standard at full deployment:</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EAF2EE"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Universal Service Standards (Initial, Year 7+)</w:t>
            </w:r>
          </w:p>
          <w:p>
            <w:pPr>
              <w:spacing w:after="100" w:line="280"/>
            </w:pPr>
            <w:r>
              <w:rPr>
                <w:rFonts w:ascii="Georgia" w:cs="Georgia" w:eastAsia="Georgia" w:hAnsi="Georgia"/>
                <w:color w:val="1A1A1A"/>
                <w:sz w:val="21"/>
                <w:szCs w:val="21"/>
              </w:rPr>
              <w:t xml:space="preserve">•  Download speed: 100 Mbps minimum, sustained, during peak hours.</w:t>
            </w:r>
          </w:p>
          <w:p>
            <w:pPr>
              <w:spacing w:after="100" w:line="280"/>
            </w:pPr>
            <w:r>
              <w:rPr>
                <w:rFonts w:ascii="Georgia" w:cs="Georgia" w:eastAsia="Georgia" w:hAnsi="Georgia"/>
                <w:color w:val="1A1A1A"/>
                <w:sz w:val="21"/>
                <w:szCs w:val="21"/>
              </w:rPr>
              <w:t xml:space="preserve">•  Upload speed: 20 Mbps minimum, sustained, during peak hours.</w:t>
            </w:r>
          </w:p>
          <w:p>
            <w:pPr>
              <w:spacing w:after="100" w:line="280"/>
            </w:pPr>
            <w:r>
              <w:rPr>
                <w:rFonts w:ascii="Georgia" w:cs="Georgia" w:eastAsia="Georgia" w:hAnsi="Georgia"/>
                <w:color w:val="1A1A1A"/>
                <w:sz w:val="21"/>
                <w:szCs w:val="21"/>
              </w:rPr>
              <w:t xml:space="preserve">•  Latency: under 100 milliseconds round-trip to major internet exchange points.</w:t>
            </w:r>
          </w:p>
          <w:p>
            <w:pPr>
              <w:spacing w:after="100" w:line="280"/>
            </w:pPr>
            <w:r>
              <w:rPr>
                <w:rFonts w:ascii="Georgia" w:cs="Georgia" w:eastAsia="Georgia" w:hAnsi="Georgia"/>
                <w:color w:val="1A1A1A"/>
                <w:sz w:val="21"/>
                <w:szCs w:val="21"/>
              </w:rPr>
              <w:t xml:space="preserve">•  Data caps: none for fixed residential service. Mobile and satellite usage policies follow industry standards but may not be used to circumvent the no-cap commitment.</w:t>
            </w:r>
          </w:p>
          <w:p>
            <w:pPr>
              <w:spacing w:after="100" w:line="280"/>
            </w:pPr>
            <w:r>
              <w:rPr>
                <w:rFonts w:ascii="Georgia" w:cs="Georgia" w:eastAsia="Georgia" w:hAnsi="Georgia"/>
                <w:color w:val="1A1A1A"/>
                <w:sz w:val="21"/>
                <w:szCs w:val="21"/>
              </w:rPr>
              <w:t xml:space="preserve">•  Reliability: 99.5% monthly uptime minimum (about 3.6 hours of allowable downtime per month).</w:t>
            </w:r>
          </w:p>
          <w:p>
            <w:pPr>
              <w:spacing w:after="100" w:line="280"/>
            </w:pPr>
            <w:r>
              <w:rPr>
                <w:rFonts w:ascii="Georgia" w:cs="Georgia" w:eastAsia="Georgia" w:hAnsi="Georgia"/>
                <w:color w:val="1A1A1A"/>
                <w:sz w:val="21"/>
                <w:szCs w:val="21"/>
              </w:rPr>
              <w:t xml:space="preserve">•  Customer support: 24/7 availability for service outages; business hours for non-emergency issues; multilingual support for languages spoken by more than 1 million US residents.</w:t>
            </w:r>
          </w:p>
          <w:p>
            <w:pPr>
              <w:spacing w:after="100" w:line="280"/>
            </w:pPr>
            <w:r>
              <w:rPr>
                <w:rFonts w:ascii="Georgia" w:cs="Georgia" w:eastAsia="Georgia" w:hAnsi="Georgia"/>
                <w:color w:val="1A1A1A"/>
                <w:sz w:val="21"/>
                <w:szCs w:val="21"/>
              </w:rPr>
              <w:t xml:space="preserve">•  Equipment: providers furnish customer premises equipment (router, ONT, or satellite dish/receiver as appropriate) at no cost to household; replacement on failure within 48 hours in metropolitan areas, 5 business days in rural areas.</w:t>
            </w:r>
          </w:p>
          <w:p>
            <w:pPr>
              <w:spacing w:after="100" w:line="280"/>
            </w:pPr>
            <w:r>
              <w:rPr>
                <w:rFonts w:ascii="Georgia" w:cs="Georgia" w:eastAsia="Georgia" w:hAnsi="Georgia"/>
                <w:color w:val="1A1A1A"/>
                <w:sz w:val="21"/>
                <w:szCs w:val="21"/>
              </w:rPr>
              <w:t xml:space="preserve">•  Installation: free initial installation; service activation within 5 business days of household request in metropolitan areas, 14 business days in rural areas.</w:t>
            </w:r>
          </w:p>
          <w:p>
            <w:pPr>
              <w:spacing w:after="100" w:line="280"/>
            </w:pPr>
            <w:r>
              <w:rPr>
                <w:rFonts w:ascii="Georgia" w:cs="Georgia" w:eastAsia="Georgia" w:hAnsi="Georgia"/>
                <w:color w:val="1A1A1A"/>
                <w:sz w:val="21"/>
                <w:szCs w:val="21"/>
              </w:rPr>
              <w:t xml:space="preserve">•  Net neutrality: no application-specific throttling, no port blocking for legitimate uses, no anti-competitive routing manipulation. Full common-carrier obligations apply to federally-contracted service.</w:t>
            </w:r>
          </w:p>
        </w:tc>
      </w:tr>
    </w:tbl>
    <w:p>
      <w:pPr>
        <w:spacing w:after="200" w:line="320"/>
        <w:jc w:val="both"/>
      </w:pPr>
      <w:r>
        <w:rPr>
          <w:rFonts w:ascii="Georgia" w:cs="Georgia" w:eastAsia="Georgia" w:hAnsi="Georgia"/>
          <w:color w:val="1A1A1A"/>
          <w:sz w:val="22"/>
          <w:szCs w:val="22"/>
        </w:rPr>
        <w:t>These standards represent the floor that universal service must meet. They are intentionally above the FCC (Federal Communications Commission)'s previous minimum (25/3 Mbps) and reflect realistic 2026-2030 application bandwidth needs: simultaneous video calls in multi-person households, video streaming at multiple resolutions, work-from-home productivity software, telehealth video sessions, online education with real-time interaction, gaming and entertainment, smart home device load. The 100/20 standard supports approximately 4-6 simultaneous video calls in a typical household with reasonable margin.</w:t>
      </w:r>
    </w:p>
    <w:p>
      <w:pPr>
        <w:pStyle w:val="Heading2"/>
        <w:spacing w:after="160" w:before="360"/>
      </w:pPr>
      <w:r>
        <w:rPr>
          <w:rFonts w:ascii="Arial" w:cs="Arial" w:eastAsia="Arial" w:hAnsi="Arial"/>
          <w:b/>
          <w:bCs/>
          <w:color w:val="1F4E78"/>
          <w:sz w:val="28"/>
          <w:szCs w:val="28"/>
        </w:rPr>
        <w:t xml:space="preserve">Service Standard Evolution</w:t>
      </w:r>
    </w:p>
    <w:p>
      <w:pPr>
        <w:spacing w:after="200" w:line="320"/>
        <w:jc w:val="both"/>
      </w:pPr>
      <w:r>
        <w:rPr>
          <w:rFonts w:ascii="Georgia" w:cs="Georgia" w:eastAsia="Georgia" w:hAnsi="Georgia"/>
          <w:color w:val="1A1A1A"/>
          <w:sz w:val="22"/>
          <w:szCs w:val="22"/>
        </w:rPr>
        <w:t xml:space="preserve">Application bandwidth needs grow approximately 25-40% per year historically. The platform's commitment includes a planned service standard increase trajectory rather than fixing the standard in 2026 and watching it become inadequate over the platform's 30-year horizon:</w:t>
      </w:r>
    </w:p>
    <w:p>
      <w:pPr>
        <w:spacing w:after="12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gridCol w:w="100"/>
        <w:gridCol w:w="100"/>
      </w:tblGrid>
      <w:tr>
        <w:tc>
          <w:tcPr>
            <w:tcW w:type="dxa" w:w="15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Year</w:t>
            </w:r>
          </w:p>
        </w:tc>
        <w:tc>
          <w:tcPr>
            <w:tcW w:type="dxa" w:w="25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Download Standard</w:t>
            </w:r>
          </w:p>
        </w:tc>
        <w:tc>
          <w:tcPr>
            <w:tcW w:type="dxa" w:w="25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Upload Standard</w:t>
            </w:r>
          </w:p>
        </w:tc>
        <w:tc>
          <w:tcPr>
            <w:tcW w:type="dxa" w:w="25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Notes</w:t>
            </w:r>
          </w:p>
        </w:tc>
      </w:tr>
      <w:tr>
        <w:tc>
          <w:tcPr>
            <w:tcW w:type="dxa" w:w="1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2026-2030</w:t>
            </w:r>
          </w:p>
        </w:tc>
        <w:tc>
          <w:tcPr>
            <w:tcW w:type="dxa" w:w="2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100 Mbps</w:t>
            </w:r>
          </w:p>
        </w:tc>
        <w:tc>
          <w:tcPr>
            <w:tcW w:type="dxa" w:w="2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20 Mbps</w:t>
            </w:r>
          </w:p>
        </w:tc>
        <w:tc>
          <w:tcPr>
            <w:tcW w:type="dxa" w:w="2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Initial deployment standard</w:t>
            </w:r>
          </w:p>
        </w:tc>
      </w:tr>
      <w:tr>
        <w:tc>
          <w:tcPr>
            <w:tcW w:type="dxa" w:w="1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2030-2034</w:t>
            </w:r>
          </w:p>
        </w:tc>
        <w:tc>
          <w:tcPr>
            <w:tcW w:type="dxa" w:w="2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250 Mbps</w:t>
            </w:r>
          </w:p>
        </w:tc>
        <w:tc>
          <w:tcPr>
            <w:tcW w:type="dxa" w:w="2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50 Mbps</w:t>
            </w:r>
          </w:p>
        </w:tc>
        <w:tc>
          <w:tcPr>
            <w:tcW w:type="dxa" w:w="2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Increased standard once initial deployment complete</w:t>
            </w:r>
          </w:p>
        </w:tc>
      </w:tr>
      <w:tr>
        <w:tc>
          <w:tcPr>
            <w:tcW w:type="dxa" w:w="1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2035-2040</w:t>
            </w:r>
          </w:p>
        </w:tc>
        <w:tc>
          <w:tcPr>
            <w:tcW w:type="dxa" w:w="2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500 Mbps symmetric</w:t>
            </w:r>
          </w:p>
        </w:tc>
        <w:tc>
          <w:tcPr>
            <w:tcW w:type="dxa" w:w="2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500 Mbps symmetric</w:t>
            </w:r>
          </w:p>
        </w:tc>
        <w:tc>
          <w:tcPr>
            <w:tcW w:type="dxa" w:w="2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Symmetric service for production use cases</w:t>
            </w:r>
          </w:p>
        </w:tc>
      </w:tr>
      <w:tr>
        <w:tc>
          <w:tcPr>
            <w:tcW w:type="dxa" w:w="1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2040+</w:t>
            </w:r>
          </w:p>
        </w:tc>
        <w:tc>
          <w:tcPr>
            <w:tcW w:type="dxa" w:w="2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 Gbps symmetric</w:t>
            </w:r>
          </w:p>
        </w:tc>
        <w:tc>
          <w:tcPr>
            <w:tcW w:type="dxa" w:w="2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 Gbps symmetric</w:t>
            </w:r>
          </w:p>
        </w:tc>
        <w:tc>
          <w:tcPr>
            <w:tcW w:type="dxa" w:w="2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Universal gigabit symmetric basic service</w:t>
            </w:r>
          </w:p>
        </w:tc>
      </w:tr>
    </w:tbl>
    <w:p>
      <w:pPr>
        <w:spacing w:after="240"/>
      </w:pPr>
      <w:r>
        <w:t xml:space="preserve"/>
      </w:r>
    </w:p>
    <w:p>
      <w:pPr>
        <w:spacing w:after="200" w:line="320"/>
        <w:jc w:val="both"/>
      </w:pPr>
      <w:r>
        <w:rPr>
          <w:rFonts w:ascii="Georgia" w:cs="Georgia" w:eastAsia="Georgia" w:hAnsi="Georgia"/>
          <w:color w:val="1A1A1A"/>
          <w:sz w:val="22"/>
          <w:szCs w:val="22"/>
        </w:rPr>
        <w:t xml:space="preserve">Each standard increase produces additional federal cost (provider equipment upgrades, infrastructure capacity expansion). The Civic Infrastructure pillar's funding architecture absorbs these increases as part of the planned escalation; the standard upgrade isn't an unexpected expense but a built-in component of the long-term commitment.</w:t>
      </w:r>
    </w:p>
    <w:p>
      <w:pPr>
        <w:pStyle w:val="Heading2"/>
        <w:spacing w:after="160" w:before="360"/>
      </w:pPr>
      <w:r>
        <w:rPr>
          <w:rFonts w:ascii="Arial" w:cs="Arial" w:eastAsia="Arial" w:hAnsi="Arial"/>
          <w:b/>
          <w:bCs/>
          <w:color w:val="1F4E78"/>
          <w:sz w:val="28"/>
          <w:szCs w:val="28"/>
        </w:rPr>
        <w:t xml:space="preserve">Premium Tier Boundary</w:t>
      </w:r>
    </w:p>
    <w:p>
      <w:pPr>
        <w:spacing w:after="200" w:line="320"/>
        <w:jc w:val="both"/>
      </w:pPr>
      <w:r>
        <w:rPr>
          <w:rFonts w:ascii="Georgia" w:cs="Georgia" w:eastAsia="Georgia" w:hAnsi="Georgia"/>
          <w:color w:val="1A1A1A"/>
          <w:sz w:val="22"/>
          <w:szCs w:val="22"/>
        </w:rPr>
        <w:t xml:space="preserve">The free basic tier is the floor, not the ceiling. Providers continue offering premium tiers for households that want service above the universal standard. The platform's commitment defines the boundary clearly:</w:t>
      </w:r>
    </w:p>
    <w:p>
      <w:pPr>
        <w:spacing w:after="200" w:line="320"/>
        <w:jc w:val="both"/>
      </w:pPr>
      <w:r>
        <w:rPr>
          <w:rFonts w:ascii="Georgia" w:cs="Georgia" w:eastAsia="Georgia" w:hAnsi="Georgia"/>
          <w:b/>
          <w:bCs/>
          <w:sz w:val="22"/>
          <w:szCs w:val="22"/>
        </w:rPr>
        <w:t xml:space="preserve">Basic tier (free at point of use, federal contract). </w:t>
      </w:r>
      <w:r>
        <w:rPr>
          <w:rFonts w:ascii="Georgia" w:cs="Georgia" w:eastAsia="Georgia" w:hAnsi="Georgia"/>
          <w:color w:val="1A1A1A"/>
          <w:sz w:val="22"/>
          <w:szCs w:val="22"/>
        </w:rPr>
        <w:t xml:space="preserve">100/20 Mbps starting in 2026, scaling per the schedule above. Universal service standards apply. Federal contract pays provider wholesale. Household pays nothing. Service available at every household address by Year 7.</w:t>
      </w:r>
    </w:p>
    <w:p>
      <w:pPr>
        <w:spacing w:after="200" w:line="320"/>
        <w:jc w:val="both"/>
      </w:pPr>
      <w:r>
        <w:rPr>
          <w:rFonts w:ascii="Georgia" w:cs="Georgia" w:eastAsia="Georgia" w:hAnsi="Georgia"/>
          <w:b/>
          <w:bCs/>
          <w:sz w:val="22"/>
          <w:szCs w:val="22"/>
        </w:rPr>
        <w:t xml:space="preserve">Premium tier (paid private market, optional). </w:t>
      </w:r>
      <w:r>
        <w:rPr>
          <w:rFonts w:ascii="Georgia" w:cs="Georgia" w:eastAsia="Georgia" w:hAnsi="Georgia"/>
          <w:color w:val="1A1A1A"/>
          <w:sz w:val="22"/>
          <w:szCs w:val="22"/>
        </w:rPr>
        <w:t xml:space="preserve">Higher speeds (gigabit symmetric, 10 Gbps for power users), guaranteed performance for business use, additional services (TV bundles, phone, home security integration). Households purchase premium tiers from providers at private market prices. Premium tier prices are not regulated; market competition for premium tier customers continues. Provider revenue from premium tier sales: estimated $19 billion per year at full deployment (30% of households opting for premium upgrades at average $40/month above basic).</w:t>
      </w:r>
    </w:p>
    <w:p>
      <w:pPr>
        <w:spacing w:after="200" w:line="320"/>
        <w:jc w:val="both"/>
      </w:pPr>
      <w:r>
        <w:rPr>
          <w:rFonts w:ascii="Georgia" w:cs="Georgia" w:eastAsia="Georgia" w:hAnsi="Georgia"/>
          <w:b/>
          <w:bCs/>
          <w:sz w:val="22"/>
          <w:szCs w:val="22"/>
        </w:rPr>
        <w:t xml:space="preserve">Anti-discrimination requirement. </w:t>
      </w:r>
      <w:r>
        <w:rPr>
          <w:rFonts w:ascii="Georgia" w:cs="Georgia" w:eastAsia="Georgia" w:hAnsi="Georgia"/>
          <w:color w:val="1A1A1A"/>
          <w:sz w:val="22"/>
          <w:szCs w:val="22"/>
        </w:rPr>
        <w:t xml:space="preserve">Providers may not discriminate between basic and premium tier customers in ways unrelated to the speed tier purchased. Customer support response times, network maintenance priority, data caps (none allowed for either), service quality, and reliability standards apply equally. The basic tier customer is a first-class customer of the provider, not a second-class freeloader.</w:t>
      </w:r>
    </w:p>
    <w:p>
      <w:pPr>
        <w:pStyle w:val="Heading2"/>
        <w:spacing w:after="160" w:before="360"/>
      </w:pPr>
      <w:r>
        <w:rPr>
          <w:rFonts w:ascii="Arial" w:cs="Arial" w:eastAsia="Arial" w:hAnsi="Arial"/>
          <w:b/>
          <w:bCs/>
          <w:color w:val="1F4E78"/>
          <w:sz w:val="28"/>
          <w:szCs w:val="28"/>
        </w:rPr>
        <w:t xml:space="preserve">Two-Channel Architecture</w:t>
      </w:r>
    </w:p>
    <w:p>
      <w:pPr>
        <w:spacing w:after="200" w:line="320"/>
        <w:jc w:val="both"/>
      </w:pPr>
      <w:r>
        <w:rPr>
          <w:rFonts w:ascii="Georgia" w:cs="Georgia" w:eastAsia="Georgia" w:hAnsi="Georgia"/>
          <w:color w:val="1A1A1A"/>
          <w:sz w:val="22"/>
          <w:szCs w:val="22"/>
        </w:rPr>
        <w:t xml:space="preserve">Citizens experience the universal broadband commitment through whichever channel they prefer:</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EAF2EE"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Channel options</w:t>
            </w:r>
          </w:p>
          <w:p>
            <w:pPr>
              <w:spacing w:after="100" w:line="280"/>
            </w:pPr>
            <w:r>
              <w:rPr>
                <w:rFonts w:ascii="Georgia" w:cs="Georgia" w:eastAsia="Georgia" w:hAnsi="Georgia"/>
                <w:color w:val="1A1A1A"/>
                <w:sz w:val="21"/>
                <w:szCs w:val="21"/>
              </w:rPr>
              <w:t xml:space="preserve">•  Home channel: federal contract delivers basic service to household address; household uses service for any purpose (work, education, healthcare, entertainment, civic engagement); premium upgrades available for purchase; premium tier purchases happen with provider directly without federal involvement.</w:t>
            </w:r>
          </w:p>
          <w:p>
            <w:pPr>
              <w:spacing w:after="100" w:line="280"/>
            </w:pPr>
            <w:r>
              <w:rPr>
                <w:rFonts w:ascii="Georgia" w:cs="Georgia" w:eastAsia="Georgia" w:hAnsi="Georgia"/>
                <w:color w:val="1A1A1A"/>
                <w:sz w:val="21"/>
                <w:szCs w:val="21"/>
              </w:rPr>
              <w:t xml:space="preserve">•  Library channel: Public Spaces component of Civic Infrastructure ensures every American is within 5 miles of a public library with high-speed broadband (1 Gbps minimum to library), public terminals, private rooms (for telehealth, legal, government interaction), digital civic engagement librarians, extended hours (40+ hours/week including evening and weekend).</w:t>
            </w:r>
          </w:p>
          <w:p>
            <w:pPr>
              <w:spacing w:after="100" w:line="280"/>
            </w:pPr>
            <w:r>
              <w:rPr>
                <w:rFonts w:ascii="Georgia" w:cs="Georgia" w:eastAsia="Georgia" w:hAnsi="Georgia"/>
                <w:color w:val="1A1A1A"/>
                <w:sz w:val="21"/>
                <w:szCs w:val="21"/>
              </w:rPr>
              <w:t xml:space="preserve">•  Both channels deliver structurally equivalent access. Neither is positioned as a lesser fallback. Citizens choose based on preference and circumstance.</w:t>
            </w:r>
          </w:p>
        </w:tc>
      </w:tr>
    </w:tbl>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 xml:space="preserve">“The basic tier customer is a first-class customer of the provider, not a second-class freeloader. Anti-discrimination requirements ensure service quality, reliability, and support apply equally to basic and premium tiers.”</w:t>
            </w:r>
          </w:p>
        </w:tc>
      </w:tr>
    </w:tbl>
    <w:p>
      <w:r>
        <w:br w:type="page"/>
      </w:r>
    </w:p>
    <w:p>
      <w:pPr>
        <w:pStyle w:val="Heading1"/>
        <w:spacing w:after="240" w:before="480"/>
      </w:pPr>
      <w:r>
        <w:rPr>
          <w:rFonts w:ascii="Arial" w:cs="Arial" w:eastAsia="Arial" w:hAnsi="Arial"/>
          <w:b/>
          <w:bCs/>
          <w:color w:val="1F4E78"/>
          <w:sz w:val="36"/>
          <w:szCs w:val="36"/>
        </w:rPr>
        <w:t xml:space="preserve">Technology Mix and Geographic Deployment</w:t>
      </w:r>
    </w:p>
    <w:p>
      <w:pPr>
        <w:spacing w:after="240" w:line="340"/>
        <w:jc w:val="both"/>
      </w:pPr>
      <w:r>
        <w:rPr>
          <w:rFonts w:ascii="Georgia" w:cs="Georgia" w:eastAsia="Georgia" w:hAnsi="Georgia"/>
          <w:color w:val="1A1A1A"/>
          <w:sz w:val="24"/>
          <w:szCs w:val="24"/>
        </w:rPr>
        <w:t xml:space="preserve">No single technology delivers universal broadband across the United States economically. Path A's deployment architecture uses fiber where it works, fixed wireless access where fiber is uneconomic but density supports tower-based service, LEO satellite as the backstop for genuinely frontier areas, and public WiFi for supplemental community access. This section specifies the geographic deployment strategy, the per-technology economics, and the workforce implications of each.</w:t>
      </w:r>
    </w:p>
    <w:p>
      <w:pPr>
        <w:pStyle w:val="Heading2"/>
        <w:spacing w:after="160" w:before="360"/>
      </w:pPr>
      <w:r>
        <w:rPr>
          <w:rFonts w:ascii="Arial" w:cs="Arial" w:eastAsia="Arial" w:hAnsi="Arial"/>
          <w:b/>
          <w:bCs/>
          <w:color w:val="1F4E78"/>
          <w:sz w:val="28"/>
          <w:szCs w:val="28"/>
        </w:rPr>
        <w:t xml:space="preserve">Geographic Deployment Strategy</w:t>
      </w:r>
    </w:p>
    <w:p>
      <w:pPr>
        <w:spacing w:after="200" w:line="320"/>
        <w:jc w:val="both"/>
      </w:pPr>
      <w:r>
        <w:rPr>
          <w:rFonts w:ascii="Georgia" w:cs="Georgia" w:eastAsia="Georgia" w:hAnsi="Georgia"/>
          <w:color w:val="1A1A1A"/>
          <w:sz w:val="22"/>
          <w:szCs w:val="22"/>
        </w:rPr>
        <w:t xml:space="preserve">The technology mix follows population density and geographic terrain. Approximately 85% of households receive fiber-to-the-home; approximately 9% receive fixed wireless access; approximately 5% receive LEO satellite; approximately 1% access service through public WiFi at libraries and community centers.</w:t>
      </w:r>
    </w:p>
    <w:p>
      <w:pPr>
        <w:spacing w:after="12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gridCol w:w="100"/>
        <w:gridCol w:w="100"/>
        <w:gridCol w:w="100"/>
      </w:tblGrid>
      <w:tr>
        <w:tc>
          <w:tcPr>
            <w:tcW w:type="dxa" w:w="25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Technology</w:t>
            </w:r>
          </w:p>
        </w:tc>
        <w:tc>
          <w:tcPr>
            <w:tcW w:type="dxa" w:w="15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 of Households</w:t>
            </w:r>
          </w:p>
        </w:tc>
        <w:tc>
          <w:tcPr>
            <w:tcW w:type="dxa" w:w="15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Households</w:t>
            </w:r>
          </w:p>
        </w:tc>
        <w:tc>
          <w:tcPr>
            <w:tcW w:type="dxa" w:w="17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Wholesale Cost</w:t>
            </w:r>
          </w:p>
        </w:tc>
        <w:tc>
          <w:tcPr>
            <w:tcW w:type="dxa" w:w="18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Annual Federal Cost</w:t>
            </w:r>
          </w:p>
        </w:tc>
      </w:tr>
      <w:tr>
        <w:tc>
          <w:tcPr>
            <w:tcW w:type="dxa" w:w="2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Fiber (urban/suburban dense)</w:t>
            </w:r>
          </w:p>
        </w:tc>
        <w:tc>
          <w:tcPr>
            <w:tcW w:type="dxa" w:w="1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60%</w:t>
            </w:r>
          </w:p>
        </w:tc>
        <w:tc>
          <w:tcPr>
            <w:tcW w:type="dxa" w:w="1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79.2M</w:t>
            </w:r>
          </w:p>
        </w:tc>
        <w:tc>
          <w:tcPr>
            <w:tcW w:type="dxa" w:w="17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$26/mo</w:t>
            </w:r>
          </w:p>
        </w:tc>
        <w:tc>
          <w:tcPr>
            <w:tcW w:type="dxa" w:w="1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$24.7B</w:t>
            </w:r>
          </w:p>
        </w:tc>
      </w:tr>
      <w:tr>
        <w:tc>
          <w:tcPr>
            <w:tcW w:type="dxa" w:w="2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Fiber (rural cooperative)</w:t>
            </w:r>
          </w:p>
        </w:tc>
        <w:tc>
          <w:tcPr>
            <w:tcW w:type="dxa" w:w="1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25%</w:t>
            </w:r>
          </w:p>
        </w:tc>
        <w:tc>
          <w:tcPr>
            <w:tcW w:type="dxa" w:w="1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33.0M</w:t>
            </w:r>
          </w:p>
        </w:tc>
        <w:tc>
          <w:tcPr>
            <w:tcW w:type="dxa" w:w="17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$32/mo</w:t>
            </w:r>
          </w:p>
        </w:tc>
        <w:tc>
          <w:tcPr>
            <w:tcW w:type="dxa" w:w="1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$12.7B</w:t>
            </w:r>
          </w:p>
        </w:tc>
      </w:tr>
      <w:tr>
        <w:tc>
          <w:tcPr>
            <w:tcW w:type="dxa" w:w="2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Fixed Wireless Access</w:t>
            </w:r>
          </w:p>
        </w:tc>
        <w:tc>
          <w:tcPr>
            <w:tcW w:type="dxa" w:w="1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9%</w:t>
            </w:r>
          </w:p>
        </w:tc>
        <w:tc>
          <w:tcPr>
            <w:tcW w:type="dxa" w:w="1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11.9M</w:t>
            </w:r>
          </w:p>
        </w:tc>
        <w:tc>
          <w:tcPr>
            <w:tcW w:type="dxa" w:w="17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$35/mo</w:t>
            </w:r>
          </w:p>
        </w:tc>
        <w:tc>
          <w:tcPr>
            <w:tcW w:type="dxa" w:w="1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$5.0B</w:t>
            </w:r>
          </w:p>
        </w:tc>
      </w:tr>
      <w:tr>
        <w:tc>
          <w:tcPr>
            <w:tcW w:type="dxa" w:w="2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LEO satellite (frontier)</w:t>
            </w:r>
          </w:p>
        </w:tc>
        <w:tc>
          <w:tcPr>
            <w:tcW w:type="dxa" w:w="1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5%</w:t>
            </w:r>
          </w:p>
        </w:tc>
        <w:tc>
          <w:tcPr>
            <w:tcW w:type="dxa" w:w="1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6.6M</w:t>
            </w:r>
          </w:p>
        </w:tc>
        <w:tc>
          <w:tcPr>
            <w:tcW w:type="dxa" w:w="17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$60/mo</w:t>
            </w:r>
          </w:p>
        </w:tc>
        <w:tc>
          <w:tcPr>
            <w:tcW w:type="dxa" w:w="1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$4.8B</w:t>
            </w:r>
          </w:p>
        </w:tc>
      </w:tr>
      <w:tr>
        <w:tc>
          <w:tcPr>
            <w:tcW w:type="dxa" w:w="2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Public WiFi/community</w:t>
            </w:r>
          </w:p>
        </w:tc>
        <w:tc>
          <w:tcPr>
            <w:tcW w:type="dxa" w:w="1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w:t>
            </w:r>
          </w:p>
        </w:tc>
        <w:tc>
          <w:tcPr>
            <w:tcW w:type="dxa" w:w="1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1.3M</w:t>
            </w:r>
          </w:p>
        </w:tc>
        <w:tc>
          <w:tcPr>
            <w:tcW w:type="dxa" w:w="17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$15/mo</w:t>
            </w:r>
          </w:p>
        </w:tc>
        <w:tc>
          <w:tcPr>
            <w:tcW w:type="dxa" w:w="1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$0.2B</w:t>
            </w:r>
          </w:p>
        </w:tc>
      </w:tr>
      <w:tr>
        <w:tc>
          <w:tcPr>
            <w:tcW w:type="dxa" w:w="2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Total weighted</w:t>
            </w:r>
          </w:p>
        </w:tc>
        <w:tc>
          <w:tcPr>
            <w:tcW w:type="dxa" w:w="1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100%</w:t>
            </w:r>
          </w:p>
        </w:tc>
        <w:tc>
          <w:tcPr>
            <w:tcW w:type="dxa" w:w="1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132M</w:t>
            </w:r>
          </w:p>
        </w:tc>
        <w:tc>
          <w:tcPr>
            <w:tcW w:type="dxa" w:w="17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~$30/mo avg</w:t>
            </w:r>
          </w:p>
        </w:tc>
        <w:tc>
          <w:tcPr>
            <w:tcW w:type="dxa" w:w="1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$47.4B</w:t>
            </w:r>
          </w:p>
        </w:tc>
      </w:tr>
    </w:tbl>
    <w:p>
      <w:pPr>
        <w:spacing w:after="240"/>
      </w:pPr>
      <w:r>
        <w:t xml:space="preserve"/>
      </w:r>
    </w:p>
    <w:p>
      <w:pPr>
        <w:spacing w:after="200" w:line="320"/>
        <w:jc w:val="both"/>
      </w:pPr>
      <w:r>
        <w:rPr>
          <w:rFonts w:ascii="Georgia" w:cs="Georgia" w:eastAsia="Georgia" w:hAnsi="Georgia"/>
          <w:color w:val="1A1A1A"/>
          <w:sz w:val="22"/>
          <w:szCs w:val="22"/>
        </w:rPr>
        <w:t xml:space="preserve">The blended weighted cost is approximately $47-50 billion per year, consistent with the cost analysis estimate. The mix reflects realistic deployment economics: fiber dominates because it's the most cost-effective per-household for the majority of the country; FWA and satellite handle the long tail where fiber is uneconomic; public WiFi supplements rather than substitutes for residential service.</w:t>
      </w:r>
    </w:p>
    <w:p>
      <w:pPr>
        <w:pStyle w:val="Heading2"/>
        <w:spacing w:after="160" w:before="360"/>
      </w:pPr>
      <w:r>
        <w:rPr>
          <w:rFonts w:ascii="Arial" w:cs="Arial" w:eastAsia="Arial" w:hAnsi="Arial"/>
          <w:b/>
          <w:bCs/>
          <w:color w:val="1F4E78"/>
          <w:sz w:val="28"/>
          <w:szCs w:val="28"/>
        </w:rPr>
        <w:t xml:space="preserve">Fiber Deployment via Rural Electric Cooperatives</w:t>
      </w:r>
    </w:p>
    <w:p>
      <w:pPr>
        <w:spacing w:after="200" w:line="320"/>
        <w:jc w:val="both"/>
      </w:pPr>
      <w:r>
        <w:rPr>
          <w:rFonts w:ascii="Georgia" w:cs="Georgia" w:eastAsia="Georgia" w:hAnsi="Georgia"/>
          <w:color w:val="1A1A1A"/>
          <w:sz w:val="22"/>
          <w:szCs w:val="22"/>
        </w:rPr>
        <w:t xml:space="preserve">Rural electric cooperatives are the platform's preferred fiber deployment partner for the rural 25% of households. Their advantages over incumbent telecoms:</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EAF2EE"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Why rural electric cooperatives lead rural fiber</w:t>
            </w:r>
          </w:p>
          <w:p>
            <w:pPr>
              <w:spacing w:after="100" w:line="280"/>
            </w:pPr>
            <w:r>
              <w:rPr>
                <w:rFonts w:ascii="Georgia" w:cs="Georgia" w:eastAsia="Georgia" w:hAnsi="Georgia"/>
                <w:color w:val="1A1A1A"/>
                <w:sz w:val="21"/>
                <w:szCs w:val="21"/>
              </w:rPr>
              <w:t xml:space="preserve">•  Existing infrastructure: utility poles, easements, right-of-way to every electrical customer (every American household with electricity).</w:t>
            </w:r>
          </w:p>
          <w:p>
            <w:pPr>
              <w:spacing w:after="100" w:line="280"/>
            </w:pPr>
            <w:r>
              <w:rPr>
                <w:rFonts w:ascii="Georgia" w:cs="Georgia" w:eastAsia="Georgia" w:hAnsi="Georgia"/>
                <w:color w:val="1A1A1A"/>
                <w:sz w:val="21"/>
                <w:szCs w:val="21"/>
              </w:rPr>
              <w:t xml:space="preserve">•  Existing operational capability: line crews, trucks, customer service, billing relationships.</w:t>
            </w:r>
          </w:p>
          <w:p>
            <w:pPr>
              <w:spacing w:after="100" w:line="280"/>
            </w:pPr>
            <w:r>
              <w:rPr>
                <w:rFonts w:ascii="Georgia" w:cs="Georgia" w:eastAsia="Georgia" w:hAnsi="Georgia"/>
                <w:color w:val="1A1A1A"/>
                <w:sz w:val="21"/>
                <w:szCs w:val="21"/>
              </w:rPr>
              <w:t xml:space="preserve">•  Member-owned ownership structure: no shareholder margin extraction; cost-of-service pricing model.</w:t>
            </w:r>
          </w:p>
          <w:p>
            <w:pPr>
              <w:spacing w:after="100" w:line="280"/>
            </w:pPr>
            <w:r>
              <w:rPr>
                <w:rFonts w:ascii="Georgia" w:cs="Georgia" w:eastAsia="Georgia" w:hAnsi="Georgia"/>
                <w:color w:val="1A1A1A"/>
                <w:sz w:val="21"/>
                <w:szCs w:val="21"/>
              </w:rPr>
              <w:t xml:space="preserve">•  Local accountability: members are the customers, governance is local, decisions reflect community priorities.</w:t>
            </w:r>
          </w:p>
          <w:p>
            <w:pPr>
              <w:spacing w:after="100" w:line="280"/>
            </w:pPr>
            <w:r>
              <w:rPr>
                <w:rFonts w:ascii="Georgia" w:cs="Georgia" w:eastAsia="Georgia" w:hAnsi="Georgia"/>
                <w:color w:val="1A1A1A"/>
                <w:sz w:val="21"/>
                <w:szCs w:val="21"/>
              </w:rPr>
              <w:t>•  Proven model: BARC Electric Cooperative (Lexington, VA (Department of Veterans Affairs)), United Telephone Cooperative, RS Fiber Cooperative, and approximately 200 other rural electric cooperatives have deployed fiber successfully.</w:t>
            </w:r>
          </w:p>
          <w:p>
            <w:pPr>
              <w:spacing w:after="100" w:line="280"/>
            </w:pPr>
            <w:r>
              <w:rPr>
                <w:rFonts w:ascii="Georgia" w:cs="Georgia" w:eastAsia="Georgia" w:hAnsi="Georgia"/>
                <w:color w:val="1A1A1A"/>
                <w:sz w:val="21"/>
                <w:szCs w:val="21"/>
              </w:rPr>
              <w:t xml:space="preserve">•  Federal preference structure: USDA ReConnect program already prioritizes cooperative deployment; the platform expands this preference.</w:t>
            </w:r>
          </w:p>
        </w:tc>
      </w:tr>
    </w:tbl>
    <w:p>
      <w:pPr>
        <w:spacing w:after="200" w:line="320"/>
        <w:jc w:val="both"/>
      </w:pPr>
      <w:r>
        <w:rPr>
          <w:rFonts w:ascii="Georgia" w:cs="Georgia" w:eastAsia="Georgia" w:hAnsi="Georgia"/>
          <w:color w:val="1A1A1A"/>
          <w:sz w:val="22"/>
          <w:szCs w:val="22"/>
        </w:rPr>
        <w:t xml:space="preserve">The platform's federal contracting structure preferentially awards rural fiber contracts to qualifying cooperatives, with municipal broadband authorities as second preference, and incumbent telecoms third. This isn't ideological preference; it's economic preference. Cooperative cost structures produce wholesale prices approximately 15-25% below incumbent telecom equivalents because they don't extract shareholder margins from ratepayers.</w:t>
      </w:r>
    </w:p>
    <w:p>
      <w:pPr>
        <w:pStyle w:val="Heading2"/>
        <w:spacing w:after="160" w:before="360"/>
      </w:pPr>
      <w:r>
        <w:rPr>
          <w:rFonts w:ascii="Arial" w:cs="Arial" w:eastAsia="Arial" w:hAnsi="Arial"/>
          <w:b/>
          <w:bCs/>
          <w:color w:val="1F4E78"/>
          <w:sz w:val="28"/>
          <w:szCs w:val="28"/>
        </w:rPr>
        <w:t xml:space="preserve">Fixed Wireless Access for Medium-Density Rural</w:t>
      </w:r>
    </w:p>
    <w:p>
      <w:pPr>
        <w:spacing w:after="200" w:line="320"/>
        <w:jc w:val="both"/>
      </w:pPr>
      <w:r>
        <w:rPr>
          <w:rFonts w:ascii="Georgia" w:cs="Georgia" w:eastAsia="Georgia" w:hAnsi="Georgia"/>
          <w:color w:val="1A1A1A"/>
          <w:sz w:val="22"/>
          <w:szCs w:val="22"/>
        </w:rPr>
        <w:t xml:space="preserve">Approximately 11.9 million households (9% of total) live in areas where running fiber to each home is uneconomic but population density supports tower-based service. Fixed wireless access (FWA) using cellular frequencies (typically 600 MHz, 2.5 GHz, 3.5 GHz CBRS, or millimeter wave 24-39 GHz) delivers 100-300 Mbps to fixed customer antennas from towers covering 5-15 mile radius.</w:t>
      </w:r>
    </w:p>
    <w:p>
      <w:pPr>
        <w:spacing w:after="200" w:line="320"/>
        <w:jc w:val="both"/>
      </w:pPr>
      <w:r>
        <w:rPr>
          <w:rFonts w:ascii="Georgia" w:cs="Georgia" w:eastAsia="Georgia" w:hAnsi="Georgia"/>
          <w:color w:val="1A1A1A"/>
          <w:sz w:val="22"/>
          <w:szCs w:val="22"/>
        </w:rPr>
        <w:t xml:space="preserve">FWA economics: a single tower with fiber backhaul covers 200-2,000 households at total infrastructure cost of $400,000-1,500,000 per tower (depending on terrain, height, equipment grade). Per-household amortized infrastructure cost: $500-1,500. Customer antenna and installation: $300-500 per household. Total per-connection capex: approximately $800-2,000, comparable to or slightly less than rural fiber per-connection capex. Operating cost: approximately $20-25/month per connection. Total wholesale cost: approximately $32-40/month.</w:t>
      </w:r>
    </w:p>
    <w:p>
      <w:pPr>
        <w:spacing w:after="200" w:line="320"/>
        <w:jc w:val="both"/>
      </w:pPr>
      <w:r>
        <w:rPr>
          <w:rFonts w:ascii="Georgia" w:cs="Georgia" w:eastAsia="Georgia" w:hAnsi="Georgia"/>
          <w:color w:val="1A1A1A"/>
          <w:sz w:val="22"/>
          <w:szCs w:val="22"/>
        </w:rPr>
        <w:t xml:space="preserve">Provider mix for FWA: a long tail of regional Wireless Internet Service Providers (WISPs) operate in this market, plus Verizon and T-Mobile through their FWA expansion, plus regional cooperative wireless ISPs. The platform's federal contracting structure includes WISP qualification standards (universal service standards, infrastructure investment requirements, no anti-competitive practices) that any provider receiving federal payment must meet.</w:t>
      </w:r>
    </w:p>
    <w:p>
      <w:pPr>
        <w:pStyle w:val="Heading2"/>
        <w:spacing w:after="160" w:before="360"/>
      </w:pPr>
      <w:r>
        <w:rPr>
          <w:rFonts w:ascii="Arial" w:cs="Arial" w:eastAsia="Arial" w:hAnsi="Arial"/>
          <w:b/>
          <w:bCs/>
          <w:color w:val="1F4E78"/>
          <w:sz w:val="28"/>
          <w:szCs w:val="28"/>
        </w:rPr>
        <w:t xml:space="preserve">LEO Satellite for Frontier Areas</w:t>
      </w:r>
    </w:p>
    <w:p>
      <w:pPr>
        <w:spacing w:after="200" w:line="320"/>
        <w:jc w:val="both"/>
      </w:pPr>
      <w:r>
        <w:rPr>
          <w:rFonts w:ascii="Georgia" w:cs="Georgia" w:eastAsia="Georgia" w:hAnsi="Georgia"/>
          <w:color w:val="1A1A1A"/>
          <w:sz w:val="22"/>
          <w:szCs w:val="22"/>
        </w:rPr>
        <w:t xml:space="preserve">Approximately 6.6 million households (5% of total) live in areas where neither fiber nor FWA is economically viable: mountainous terrain blocking line-of-sight, extreme rural distances, tribal lands with sparse population, Alaska's roadless interior. LEO satellite (Starlink, Amazon Project Kuiper, others as they emerge) provides the backstop coverage for these households.</w:t>
      </w:r>
    </w:p>
    <w:p>
      <w:pPr>
        <w:spacing w:after="200" w:line="320"/>
        <w:jc w:val="both"/>
      </w:pPr>
      <w:r>
        <w:rPr>
          <w:rFonts w:ascii="Georgia" w:cs="Georgia" w:eastAsia="Georgia" w:hAnsi="Georgia"/>
          <w:color w:val="1A1A1A"/>
          <w:sz w:val="22"/>
          <w:szCs w:val="22"/>
        </w:rPr>
        <w:t xml:space="preserve">LEO satellite economics differ from terrestrial deployment. The satellite operator amortizes orbital infrastructure across the global subscriber base; the federal contract effectively buys subscribers' service from the satellite operator at wholesale rates negotiated for bulk procurement. Customer premises equipment (satellite dish, modem, router) costs approximately $300-600. Wholesale service cost: approximately $50-70/month for 100-200 Mbps service. Total per-connection cost approximately $60/month at full scale.</w:t>
      </w:r>
    </w:p>
    <w:p>
      <w:pPr>
        <w:spacing w:after="200" w:line="320"/>
        <w:jc w:val="both"/>
      </w:pPr>
      <w:r>
        <w:rPr>
          <w:rFonts w:ascii="Georgia" w:cs="Georgia" w:eastAsia="Georgia" w:hAnsi="Georgia"/>
          <w:color w:val="1A1A1A"/>
          <w:sz w:val="22"/>
          <w:szCs w:val="22"/>
        </w:rPr>
        <w:t xml:space="preserve">Satellite is the most expensive deployment per connection but serves the smallest population. Total satellite annual federal cost: approximately $4.8 billion. The federal contract structure includes satellite operators as qualified providers for frontier deployment specifically; satellite isn't deployed to areas where terrestrial alternatives are economically viable.</w:t>
      </w:r>
    </w:p>
    <w:p>
      <w:pPr>
        <w:pStyle w:val="Heading2"/>
        <w:spacing w:after="160" w:before="360"/>
      </w:pPr>
      <w:r>
        <w:rPr>
          <w:rFonts w:ascii="Arial" w:cs="Arial" w:eastAsia="Arial" w:hAnsi="Arial"/>
          <w:b/>
          <w:bCs/>
          <w:color w:val="1F4E78"/>
          <w:sz w:val="28"/>
          <w:szCs w:val="28"/>
        </w:rPr>
        <w:t xml:space="preserve">Public WiFi and Community Access</w:t>
      </w:r>
    </w:p>
    <w:p>
      <w:pPr>
        <w:spacing w:after="200" w:line="320"/>
        <w:jc w:val="both"/>
      </w:pPr>
      <w:r>
        <w:rPr>
          <w:rFonts w:ascii="Georgia" w:cs="Georgia" w:eastAsia="Georgia" w:hAnsi="Georgia"/>
          <w:color w:val="1A1A1A"/>
          <w:sz w:val="22"/>
          <w:szCs w:val="22"/>
        </w:rPr>
        <w:t xml:space="preserve">Approximately 1% of household-equivalents (1.3 million) access service through public WiFi at libraries, community centers, transit stations, and public spaces. This isn't a substitute for residential broadband but a supplement — the federal contract for residential service still applies to the household address; the public WiFi commitment ensures connectivity outside the home for citizens whose work, education, or civic engagement requires connectivity in places other than home.</w:t>
      </w:r>
    </w:p>
    <w:p>
      <w:pPr>
        <w:spacing w:after="200" w:line="320"/>
        <w:jc w:val="both"/>
      </w:pPr>
      <w:r>
        <w:rPr>
          <w:rFonts w:ascii="Georgia" w:cs="Georgia" w:eastAsia="Georgia" w:hAnsi="Georgia"/>
          <w:color w:val="1A1A1A"/>
          <w:sz w:val="22"/>
          <w:szCs w:val="22"/>
        </w:rPr>
        <w:t xml:space="preserve">Investment in public WiFi infrastructure overlaps with the Public Spaces component of the Civic Infrastructure pillar (libraries, parks, transit). The platform's commitment to library connectivity (1 Gbps minimum to every library) automatically produces high-quality public WiFi at every library. Transit stations, parks, and major public spaces receive infrastructure investment through the Public Spaces component.</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 xml:space="preserve">“Cooperative cost structures produce wholesale prices ~15-25% below incumbent telecom equivalents because they don't extract shareholder margins from ratepayers. This isn't ideological preference; it's economic preference.”</w:t>
            </w:r>
          </w:p>
        </w:tc>
      </w:tr>
    </w:tbl>
    <w:p>
      <w:r>
        <w:br w:type="page"/>
      </w:r>
    </w:p>
    <w:p>
      <w:pPr>
        <w:pStyle w:val="Heading1"/>
        <w:spacing w:after="240" w:before="480"/>
      </w:pPr>
      <w:r>
        <w:rPr>
          <w:rFonts w:ascii="Arial" w:cs="Arial" w:eastAsia="Arial" w:hAnsi="Arial"/>
          <w:b/>
          <w:bCs/>
          <w:color w:val="1F4E78"/>
          <w:sz w:val="36"/>
          <w:szCs w:val="36"/>
        </w:rPr>
        <w:t xml:space="preserve">Workforce Expansion Mathematics</w:t>
      </w:r>
    </w:p>
    <w:p>
      <w:pPr>
        <w:spacing w:after="240" w:line="340"/>
        <w:jc w:val="both"/>
      </w:pPr>
      <w:r>
        <w:rPr>
          <w:rFonts w:ascii="Georgia" w:cs="Georgia" w:eastAsia="Georgia" w:hAnsi="Georgia"/>
          <w:color w:val="1A1A1A"/>
          <w:sz w:val="24"/>
          <w:szCs w:val="24"/>
        </w:rPr>
        <w:t xml:space="preserve">Workforce capacity is the single most binding constraint on Path A's buildout timeline. The current US fiber installer workforce is approximately 65,000; full deployment requires approximately 165,000 by Year 7. This 100,000-person expansion over 7 years is achievable but requires coordinated training pipeline expansion, workforce development investment, and integration with the platform's broader education and labor commitments. This section quantifies the gap and specifies the response.</w:t>
      </w:r>
    </w:p>
    <w:p>
      <w:pPr>
        <w:pStyle w:val="Heading2"/>
        <w:spacing w:after="160" w:before="360"/>
      </w:pPr>
      <w:r>
        <w:rPr>
          <w:rFonts w:ascii="Arial" w:cs="Arial" w:eastAsia="Arial" w:hAnsi="Arial"/>
          <w:b/>
          <w:bCs/>
          <w:color w:val="1F4E78"/>
          <w:sz w:val="28"/>
          <w:szCs w:val="28"/>
        </w:rPr>
        <w:t xml:space="preserve">Current Workforce Baseline</w:t>
      </w:r>
    </w:p>
    <w:p>
      <w:pPr>
        <w:spacing w:after="12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gridCol w:w="100"/>
        <w:gridCol w:w="100"/>
      </w:tblGrid>
      <w:tr>
        <w:tc>
          <w:tcPr>
            <w:tcW w:type="dxa" w:w="28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Workforce Category</w:t>
            </w:r>
          </w:p>
        </w:tc>
        <w:tc>
          <w:tcPr>
            <w:tcW w:type="dxa" w:w="18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Current US Total</w:t>
            </w:r>
          </w:p>
        </w:tc>
        <w:tc>
          <w:tcPr>
            <w:tcW w:type="dxa" w:w="16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Average Salary</w:t>
            </w:r>
          </w:p>
        </w:tc>
        <w:tc>
          <w:tcPr>
            <w:tcW w:type="dxa" w:w="28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Notes</w:t>
            </w:r>
          </w:p>
        </w:tc>
      </w:tr>
      <w:tr>
        <w:tc>
          <w:tcPr>
            <w:tcW w:type="dxa" w:w="2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Fiber installers (residential drops)</w:t>
            </w:r>
          </w:p>
        </w:tc>
        <w:tc>
          <w:tcPr>
            <w:tcW w:type="dxa" w:w="1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~35,000</w:t>
            </w:r>
          </w:p>
        </w:tc>
        <w:tc>
          <w:tcPr>
            <w:tcW w:type="dxa" w:w="16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$48,000-65,000</w:t>
            </w:r>
          </w:p>
        </w:tc>
        <w:tc>
          <w:tcPr>
            <w:tcW w:type="dxa" w:w="2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Last-mile installation labor</w:t>
            </w:r>
          </w:p>
        </w:tc>
      </w:tr>
      <w:tr>
        <w:tc>
          <w:tcPr>
            <w:tcW w:type="dxa" w:w="2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Fiber splicers (specialized technicians)</w:t>
            </w:r>
          </w:p>
        </w:tc>
        <w:tc>
          <w:tcPr>
            <w:tcW w:type="dxa" w:w="1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~15,000</w:t>
            </w:r>
          </w:p>
        </w:tc>
        <w:tc>
          <w:tcPr>
            <w:tcW w:type="dxa" w:w="16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$58,000-85,000</w:t>
            </w:r>
          </w:p>
        </w:tc>
        <w:tc>
          <w:tcPr>
            <w:tcW w:type="dxa" w:w="2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Specialized trade requiring training</w:t>
            </w:r>
          </w:p>
        </w:tc>
      </w:tr>
      <w:tr>
        <w:tc>
          <w:tcPr>
            <w:tcW w:type="dxa" w:w="2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Outside plant technicians</w:t>
            </w:r>
          </w:p>
        </w:tc>
        <w:tc>
          <w:tcPr>
            <w:tcW w:type="dxa" w:w="1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~10,000</w:t>
            </w:r>
          </w:p>
        </w:tc>
        <w:tc>
          <w:tcPr>
            <w:tcW w:type="dxa" w:w="16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$52,000-72,000</w:t>
            </w:r>
          </w:p>
        </w:tc>
        <w:tc>
          <w:tcPr>
            <w:tcW w:type="dxa" w:w="2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Field maintenance and repair</w:t>
            </w:r>
          </w:p>
        </w:tc>
      </w:tr>
      <w:tr>
        <w:tc>
          <w:tcPr>
            <w:tcW w:type="dxa" w:w="2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Tower technicians (FWA)</w:t>
            </w:r>
          </w:p>
        </w:tc>
        <w:tc>
          <w:tcPr>
            <w:tcW w:type="dxa" w:w="1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~3,000</w:t>
            </w:r>
          </w:p>
        </w:tc>
        <w:tc>
          <w:tcPr>
            <w:tcW w:type="dxa" w:w="16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$55,000-78,000</w:t>
            </w:r>
          </w:p>
        </w:tc>
        <w:tc>
          <w:tcPr>
            <w:tcW w:type="dxa" w:w="2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Tower installation and antenna work</w:t>
            </w:r>
          </w:p>
        </w:tc>
      </w:tr>
      <w:tr>
        <w:tc>
          <w:tcPr>
            <w:tcW w:type="dxa" w:w="2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Construction crews (trenching, pole)</w:t>
            </w:r>
          </w:p>
        </w:tc>
        <w:tc>
          <w:tcPr>
            <w:tcW w:type="dxa" w:w="1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~12,000</w:t>
            </w:r>
          </w:p>
        </w:tc>
        <w:tc>
          <w:tcPr>
            <w:tcW w:type="dxa" w:w="16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$45,000-62,000</w:t>
            </w:r>
          </w:p>
        </w:tc>
        <w:tc>
          <w:tcPr>
            <w:tcW w:type="dxa" w:w="2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Civil construction supporting fiber</w:t>
            </w:r>
          </w:p>
        </w:tc>
      </w:tr>
      <w:tr>
        <w:tc>
          <w:tcPr>
            <w:tcW w:type="dxa" w:w="2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Total deployment workforce</w:t>
            </w:r>
          </w:p>
        </w:tc>
        <w:tc>
          <w:tcPr>
            <w:tcW w:type="dxa" w:w="1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~75,000</w:t>
            </w:r>
          </w:p>
        </w:tc>
        <w:tc>
          <w:tcPr>
            <w:tcW w:type="dxa" w:w="16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Various</w:t>
            </w:r>
          </w:p>
        </w:tc>
        <w:tc>
          <w:tcPr>
            <w:tcW w:type="dxa" w:w="2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Approximate; some overlap across categories</w:t>
            </w:r>
          </w:p>
        </w:tc>
      </w:tr>
    </w:tbl>
    <w:p>
      <w:pPr>
        <w:spacing w:after="240"/>
      </w:pPr>
      <w:r>
        <w:t xml:space="preserve"/>
      </w:r>
    </w:p>
    <w:p>
      <w:pPr>
        <w:spacing w:after="200" w:line="320"/>
        <w:jc w:val="both"/>
      </w:pPr>
      <w:r>
        <w:rPr>
          <w:rFonts w:ascii="Georgia" w:cs="Georgia" w:eastAsia="Georgia" w:hAnsi="Georgia"/>
          <w:color w:val="1A1A1A"/>
          <w:sz w:val="22"/>
          <w:szCs w:val="22"/>
        </w:rPr>
        <w:t xml:space="preserve">The 75,000 figure is conservative; some estimates include adjacent telecom workforce that could shift to fiber deployment. The deployment-specific workforce is approximately 65,000 dedicated, with 10,000+ from adjacent telecom roles available through retraining or reassignment. Path A's full deployment requires approximately 165,000 — a 100,000-person expansion.</w:t>
      </w:r>
    </w:p>
    <w:p>
      <w:pPr>
        <w:pStyle w:val="Heading2"/>
        <w:spacing w:after="160" w:before="360"/>
      </w:pPr>
      <w:r>
        <w:rPr>
          <w:rFonts w:ascii="Arial" w:cs="Arial" w:eastAsia="Arial" w:hAnsi="Arial"/>
          <w:b/>
          <w:bCs/>
          <w:color w:val="1F4E78"/>
          <w:sz w:val="28"/>
          <w:szCs w:val="28"/>
        </w:rPr>
        <w:t xml:space="preserve">The Workforce Gap</w:t>
      </w:r>
    </w:p>
    <w:p>
      <w:pPr>
        <w:spacing w:after="200" w:line="320"/>
        <w:jc w:val="both"/>
      </w:pPr>
      <w:r>
        <w:rPr>
          <w:rFonts w:ascii="Georgia" w:cs="Georgia" w:eastAsia="Georgia" w:hAnsi="Georgia"/>
          <w:color w:val="1A1A1A"/>
          <w:sz w:val="22"/>
          <w:szCs w:val="22"/>
        </w:rPr>
        <w:t xml:space="preserve">Path A's 7-year buildout schedule requires deployment workforce capacity scaling from current ~65,000 to peak ~165,000 by Year 5, then declining to ~110,000 steady-state for ongoing maintenance and replacement after deployment completes. The gap and trajectory:</w:t>
      </w:r>
    </w:p>
    <w:p>
      <w:pPr>
        <w:spacing w:after="12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gridCol w:w="100"/>
        <w:gridCol w:w="100"/>
        <w:gridCol w:w="100"/>
      </w:tblGrid>
      <w:tr>
        <w:tc>
          <w:tcPr>
            <w:tcW w:type="dxa" w:w="8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Year</w:t>
            </w:r>
          </w:p>
        </w:tc>
        <w:tc>
          <w:tcPr>
            <w:tcW w:type="dxa" w:w="22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Workforce Required</w:t>
            </w:r>
          </w:p>
        </w:tc>
        <w:tc>
          <w:tcPr>
            <w:tcW w:type="dxa" w:w="22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Workforce Available</w:t>
            </w:r>
          </w:p>
        </w:tc>
        <w:tc>
          <w:tcPr>
            <w:tcW w:type="dxa" w:w="15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Gap</w:t>
            </w:r>
          </w:p>
        </w:tc>
        <w:tc>
          <w:tcPr>
            <w:tcW w:type="dxa" w:w="23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Notes</w:t>
            </w:r>
          </w:p>
        </w:tc>
      </w:tr>
      <w:tr>
        <w:tc>
          <w:tcPr>
            <w:tcW w:type="dxa" w:w="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1</w:t>
            </w:r>
          </w:p>
        </w:tc>
        <w:tc>
          <w:tcPr>
            <w:tcW w:type="dxa" w:w="22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75,000</w:t>
            </w:r>
          </w:p>
        </w:tc>
        <w:tc>
          <w:tcPr>
            <w:tcW w:type="dxa" w:w="22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65,000</w:t>
            </w:r>
          </w:p>
        </w:tc>
        <w:tc>
          <w:tcPr>
            <w:tcW w:type="dxa" w:w="1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10,000</w:t>
            </w:r>
          </w:p>
        </w:tc>
        <w:tc>
          <w:tcPr>
            <w:tcW w:type="dxa" w:w="23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Initial expansion</w:t>
            </w:r>
          </w:p>
        </w:tc>
      </w:tr>
      <w:tr>
        <w:tc>
          <w:tcPr>
            <w:tcW w:type="dxa" w:w="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2</w:t>
            </w:r>
          </w:p>
        </w:tc>
        <w:tc>
          <w:tcPr>
            <w:tcW w:type="dxa" w:w="22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100,000</w:t>
            </w:r>
          </w:p>
        </w:tc>
        <w:tc>
          <w:tcPr>
            <w:tcW w:type="dxa" w:w="22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85,000</w:t>
            </w:r>
          </w:p>
        </w:tc>
        <w:tc>
          <w:tcPr>
            <w:tcW w:type="dxa" w:w="1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15,000</w:t>
            </w:r>
          </w:p>
        </w:tc>
        <w:tc>
          <w:tcPr>
            <w:tcW w:type="dxa" w:w="23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Cooperative deployments scaling</w:t>
            </w:r>
          </w:p>
        </w:tc>
      </w:tr>
      <w:tr>
        <w:tc>
          <w:tcPr>
            <w:tcW w:type="dxa" w:w="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3</w:t>
            </w:r>
          </w:p>
        </w:tc>
        <w:tc>
          <w:tcPr>
            <w:tcW w:type="dxa" w:w="22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130,000</w:t>
            </w:r>
          </w:p>
        </w:tc>
        <w:tc>
          <w:tcPr>
            <w:tcW w:type="dxa" w:w="22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115,000</w:t>
            </w:r>
          </w:p>
        </w:tc>
        <w:tc>
          <w:tcPr>
            <w:tcW w:type="dxa" w:w="1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15,000</w:t>
            </w:r>
          </w:p>
        </w:tc>
        <w:tc>
          <w:tcPr>
            <w:tcW w:type="dxa" w:w="23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Rural deployment peak</w:t>
            </w:r>
          </w:p>
        </w:tc>
      </w:tr>
      <w:tr>
        <w:tc>
          <w:tcPr>
            <w:tcW w:type="dxa" w:w="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4</w:t>
            </w:r>
          </w:p>
        </w:tc>
        <w:tc>
          <w:tcPr>
            <w:tcW w:type="dxa" w:w="22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155,000</w:t>
            </w:r>
          </w:p>
        </w:tc>
        <w:tc>
          <w:tcPr>
            <w:tcW w:type="dxa" w:w="22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140,000</w:t>
            </w:r>
          </w:p>
        </w:tc>
        <w:tc>
          <w:tcPr>
            <w:tcW w:type="dxa" w:w="1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15,000</w:t>
            </w:r>
          </w:p>
        </w:tc>
        <w:tc>
          <w:tcPr>
            <w:tcW w:type="dxa" w:w="23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FWA tower buildout</w:t>
            </w:r>
          </w:p>
        </w:tc>
      </w:tr>
      <w:tr>
        <w:tc>
          <w:tcPr>
            <w:tcW w:type="dxa" w:w="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5</w:t>
            </w:r>
          </w:p>
        </w:tc>
        <w:tc>
          <w:tcPr>
            <w:tcW w:type="dxa" w:w="22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165,000</w:t>
            </w:r>
          </w:p>
        </w:tc>
        <w:tc>
          <w:tcPr>
            <w:tcW w:type="dxa" w:w="22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160,000</w:t>
            </w:r>
          </w:p>
        </w:tc>
        <w:tc>
          <w:tcPr>
            <w:tcW w:type="dxa" w:w="1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5,000</w:t>
            </w:r>
          </w:p>
        </w:tc>
        <w:tc>
          <w:tcPr>
            <w:tcW w:type="dxa" w:w="23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Peak deployment year</w:t>
            </w:r>
          </w:p>
        </w:tc>
      </w:tr>
      <w:tr>
        <w:tc>
          <w:tcPr>
            <w:tcW w:type="dxa" w:w="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6</w:t>
            </w:r>
          </w:p>
        </w:tc>
        <w:tc>
          <w:tcPr>
            <w:tcW w:type="dxa" w:w="22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150,000</w:t>
            </w:r>
          </w:p>
        </w:tc>
        <w:tc>
          <w:tcPr>
            <w:tcW w:type="dxa" w:w="22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155,000</w:t>
            </w:r>
          </w:p>
        </w:tc>
        <w:tc>
          <w:tcPr>
            <w:tcW w:type="dxa" w:w="1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(5,000)</w:t>
            </w:r>
          </w:p>
        </w:tc>
        <w:tc>
          <w:tcPr>
            <w:tcW w:type="dxa" w:w="23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Buildout winding down</w:t>
            </w:r>
          </w:p>
        </w:tc>
      </w:tr>
      <w:tr>
        <w:tc>
          <w:tcPr>
            <w:tcW w:type="dxa" w:w="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7</w:t>
            </w:r>
          </w:p>
        </w:tc>
        <w:tc>
          <w:tcPr>
            <w:tcW w:type="dxa" w:w="22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120,000</w:t>
            </w:r>
          </w:p>
        </w:tc>
        <w:tc>
          <w:tcPr>
            <w:tcW w:type="dxa" w:w="22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150,000</w:t>
            </w:r>
          </w:p>
        </w:tc>
        <w:tc>
          <w:tcPr>
            <w:tcW w:type="dxa" w:w="1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(30,000)</w:t>
            </w:r>
          </w:p>
        </w:tc>
        <w:tc>
          <w:tcPr>
            <w:tcW w:type="dxa" w:w="23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Transition to maintenance</w:t>
            </w:r>
          </w:p>
        </w:tc>
      </w:tr>
      <w:tr>
        <w:tc>
          <w:tcPr>
            <w:tcW w:type="dxa" w:w="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8+</w:t>
            </w:r>
          </w:p>
        </w:tc>
        <w:tc>
          <w:tcPr>
            <w:tcW w:type="dxa" w:w="22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110,000</w:t>
            </w:r>
          </w:p>
        </w:tc>
        <w:tc>
          <w:tcPr>
            <w:tcW w:type="dxa" w:w="22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150,000</w:t>
            </w:r>
          </w:p>
        </w:tc>
        <w:tc>
          <w:tcPr>
            <w:tcW w:type="dxa" w:w="1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(40,000)</w:t>
            </w:r>
          </w:p>
        </w:tc>
        <w:tc>
          <w:tcPr>
            <w:tcW w:type="dxa" w:w="23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Steady state; surplus available for upgrades</w:t>
            </w:r>
          </w:p>
        </w:tc>
      </w:tr>
    </w:tbl>
    <w:p>
      <w:pPr>
        <w:spacing w:after="240"/>
      </w:pPr>
      <w:r>
        <w:t xml:space="preserve"/>
      </w:r>
    </w:p>
    <w:p>
      <w:pPr>
        <w:spacing w:after="200" w:line="320"/>
        <w:jc w:val="both"/>
      </w:pPr>
      <w:r>
        <w:rPr>
          <w:rFonts w:ascii="Georgia" w:cs="Georgia" w:eastAsia="Georgia" w:hAnsi="Georgia"/>
          <w:color w:val="1A1A1A"/>
          <w:sz w:val="22"/>
          <w:szCs w:val="22"/>
        </w:rPr>
        <w:t xml:space="preserve">The gap is approximately 5,000-15,000 workers per year during peak deployment, with cumulative training requirement of approximately 100,000 new fiber deployment workers entering the trade between Years 1-5. The gap is achievable with coordinated training pipeline expansion.</w:t>
      </w:r>
    </w:p>
    <w:p>
      <w:pPr>
        <w:pStyle w:val="Heading2"/>
        <w:spacing w:after="160" w:before="360"/>
      </w:pPr>
      <w:r>
        <w:rPr>
          <w:rFonts w:ascii="Arial" w:cs="Arial" w:eastAsia="Arial" w:hAnsi="Arial"/>
          <w:b/>
          <w:bCs/>
          <w:color w:val="1F4E78"/>
          <w:sz w:val="28"/>
          <w:szCs w:val="28"/>
        </w:rPr>
        <w:t xml:space="preserve">Training Pipeline Expansion</w:t>
      </w:r>
    </w:p>
    <w:p>
      <w:pPr>
        <w:spacing w:after="200" w:line="320"/>
        <w:jc w:val="both"/>
      </w:pPr>
      <w:r>
        <w:rPr>
          <w:rFonts w:ascii="Georgia" w:cs="Georgia" w:eastAsia="Georgia" w:hAnsi="Georgia"/>
          <w:color w:val="1A1A1A"/>
          <w:sz w:val="22"/>
          <w:szCs w:val="22"/>
        </w:rPr>
        <w:t xml:space="preserve">The fiber deployment workforce is created through multiple training pathways. Each pathway can scale; the platform's commitment is to coordinate scaling across pathways:</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EAF2EE"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Training pathway expansion</w:t>
            </w:r>
          </w:p>
          <w:p>
            <w:pPr>
              <w:spacing w:after="100" w:line="280"/>
            </w:pPr>
            <w:r>
              <w:rPr>
                <w:rFonts w:ascii="Georgia" w:cs="Georgia" w:eastAsia="Georgia" w:hAnsi="Georgia"/>
                <w:color w:val="1A1A1A"/>
                <w:sz w:val="21"/>
                <w:szCs w:val="21"/>
              </w:rPr>
              <w:t xml:space="preserve">•  Community colleges and technical schools: existing fiber installation programs at approximately 200 institutions nationally. Annual graduates: approximately 8,000. Target expansion: 20,000 annual graduates by Year 3 (250% expansion through program scaling at existing schools, plus new programs at additional schools).</w:t>
            </w:r>
          </w:p>
          <w:p>
            <w:pPr>
              <w:spacing w:after="100" w:line="280"/>
            </w:pPr>
            <w:r>
              <w:rPr>
                <w:rFonts w:ascii="Georgia" w:cs="Georgia" w:eastAsia="Georgia" w:hAnsi="Georgia"/>
                <w:color w:val="1A1A1A"/>
                <w:sz w:val="21"/>
                <w:szCs w:val="21"/>
              </w:rPr>
              <w:t xml:space="preserve">•  Apprenticeship programs (IBEW, Communications Workers of America, regional unions): existing apprenticeships produce approximately 5,000 fiber workers annually. Target expansion: 15,000 annual through coordinated federal-union investment.</w:t>
            </w:r>
          </w:p>
          <w:p>
            <w:pPr>
              <w:spacing w:after="100" w:line="280"/>
            </w:pPr>
            <w:r>
              <w:rPr>
                <w:rFonts w:ascii="Georgia" w:cs="Georgia" w:eastAsia="Georgia" w:hAnsi="Georgia"/>
                <w:color w:val="1A1A1A"/>
                <w:sz w:val="21"/>
                <w:szCs w:val="21"/>
              </w:rPr>
              <w:t xml:space="preserve">•  Coal worker retraining (existing model in Appalachia, Wyoming, Western states): producing approximately 2,000 trained fiber workers annually from displaced coal workforce. Target expansion: 8,000 annually through expanded program funding and recruitment.</w:t>
            </w:r>
          </w:p>
          <w:p>
            <w:pPr>
              <w:spacing w:after="100" w:line="280"/>
            </w:pPr>
            <w:r>
              <w:rPr>
                <w:rFonts w:ascii="Georgia" w:cs="Georgia" w:eastAsia="Georgia" w:hAnsi="Georgia"/>
                <w:color w:val="1A1A1A"/>
                <w:sz w:val="21"/>
                <w:szCs w:val="21"/>
              </w:rPr>
              <w:t xml:space="preserve">•  Veterans transition programs (VA-coordinated technical training): producing approximately 1,500 fiber workers annually. Target expansion: 5,000 through expanded federal investment.</w:t>
            </w:r>
          </w:p>
          <w:p>
            <w:pPr>
              <w:spacing w:after="100" w:line="280"/>
            </w:pPr>
            <w:r>
              <w:rPr>
                <w:rFonts w:ascii="Georgia" w:cs="Georgia" w:eastAsia="Georgia" w:hAnsi="Georgia"/>
                <w:color w:val="1A1A1A"/>
                <w:sz w:val="21"/>
                <w:szCs w:val="21"/>
              </w:rPr>
              <w:t xml:space="preserve">•  Industry-specific bootcamps (Verizon, AT&amp;T, Lumen, Comcast technical training): producing approximately 4,000 workers annually for those companies. Target expansion: 12,000 with federal contract requirement that telecoms maintain training pipelines.</w:t>
            </w:r>
          </w:p>
          <w:p>
            <w:pPr>
              <w:spacing w:after="100" w:line="280"/>
            </w:pPr>
            <w:r>
              <w:rPr>
                <w:rFonts w:ascii="Georgia" w:cs="Georgia" w:eastAsia="Georgia" w:hAnsi="Georgia"/>
                <w:color w:val="1A1A1A"/>
                <w:sz w:val="21"/>
                <w:szCs w:val="21"/>
              </w:rPr>
              <w:t xml:space="preserve">•  Cross-trade transitions (electricians, HVAC, telecommunications) with bridging programs: currently informal and small-scale. Target expansion: structured 12,000 annual transitioners through federal apprenticeship investment.</w:t>
            </w:r>
          </w:p>
        </w:tc>
      </w:tr>
    </w:tbl>
    <w:p>
      <w:pPr>
        <w:spacing w:after="200" w:line="320"/>
        <w:jc w:val="both"/>
      </w:pPr>
      <w:r>
        <w:rPr>
          <w:rFonts w:ascii="Georgia" w:cs="Georgia" w:eastAsia="Georgia" w:hAnsi="Georgia"/>
          <w:color w:val="1A1A1A"/>
          <w:sz w:val="22"/>
          <w:szCs w:val="22"/>
        </w:rPr>
        <w:t xml:space="preserve">Combined annual training pipeline at full expansion: approximately 75,000-80,000 new fiber deployment workers per year. Workforce attrition (retirement, transition out, geographic relocation) approximately 5-7% per year, equivalent to 8,000-12,000 workers leaving the trade annually. Net annual capacity addition: approximately 65,000-70,000 workers. Cumulative workforce expansion over 5 years: approximately 100,000 net new workers, matching the deployment requirement.</w:t>
      </w:r>
    </w:p>
    <w:p>
      <w:pPr>
        <w:pStyle w:val="Heading2"/>
        <w:spacing w:after="160" w:before="360"/>
      </w:pPr>
      <w:r>
        <w:rPr>
          <w:rFonts w:ascii="Arial" w:cs="Arial" w:eastAsia="Arial" w:hAnsi="Arial"/>
          <w:b/>
          <w:bCs/>
          <w:color w:val="1F4E78"/>
          <w:sz w:val="28"/>
          <w:szCs w:val="28"/>
        </w:rPr>
        <w:t xml:space="preserve">Federal Investment in Workforce Expansion</w:t>
      </w:r>
    </w:p>
    <w:p>
      <w:pPr>
        <w:spacing w:after="200" w:line="320"/>
        <w:jc w:val="both"/>
      </w:pPr>
      <w:r>
        <w:rPr>
          <w:rFonts w:ascii="Georgia" w:cs="Georgia" w:eastAsia="Georgia" w:hAnsi="Georgia"/>
          <w:color w:val="1A1A1A"/>
          <w:sz w:val="22"/>
          <w:szCs w:val="22"/>
        </w:rPr>
        <w:t xml:space="preserve">The training pipeline expansion isn't free. Each training pathway requires sustained federal investment:</w:t>
      </w:r>
    </w:p>
    <w:p>
      <w:pPr>
        <w:spacing w:after="12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gridCol w:w="100"/>
      </w:tblGrid>
      <w:tr>
        <w:tc>
          <w:tcPr>
            <w:tcW w:type="dxa" w:w="35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Investment Category</w:t>
            </w:r>
          </w:p>
        </w:tc>
        <w:tc>
          <w:tcPr>
            <w:tcW w:type="dxa" w:w="20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Annual Federal Cost</w:t>
            </w:r>
          </w:p>
        </w:tc>
        <w:tc>
          <w:tcPr>
            <w:tcW w:type="dxa" w:w="35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Notes</w:t>
            </w:r>
          </w:p>
        </w:tc>
      </w:tr>
      <w:tr>
        <w:tc>
          <w:tcPr>
            <w:tcW w:type="dxa" w:w="3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Community college program expansion (Pell, infrastructure)</w:t>
            </w:r>
          </w:p>
        </w:tc>
        <w:tc>
          <w:tcPr>
            <w:tcW w:type="dxa" w:w="20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$800M</w:t>
            </w:r>
          </w:p>
        </w:tc>
        <w:tc>
          <w:tcPr>
            <w:tcW w:type="dxa" w:w="3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200 → 400 institutions; double existing programs</w:t>
            </w:r>
          </w:p>
        </w:tc>
      </w:tr>
      <w:tr>
        <w:tc>
          <w:tcPr>
            <w:tcW w:type="dxa" w:w="3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Apprenticeship program expansion</w:t>
            </w:r>
          </w:p>
        </w:tc>
        <w:tc>
          <w:tcPr>
            <w:tcW w:type="dxa" w:w="20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$600M</w:t>
            </w:r>
          </w:p>
        </w:tc>
        <w:tc>
          <w:tcPr>
            <w:tcW w:type="dxa" w:w="3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Federal apprenticeship investment, union partnerships</w:t>
            </w:r>
          </w:p>
        </w:tc>
      </w:tr>
      <w:tr>
        <w:tc>
          <w:tcPr>
            <w:tcW w:type="dxa" w:w="3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Coal worker retraining (RECLAIM Act expansion)</w:t>
            </w:r>
          </w:p>
        </w:tc>
        <w:tc>
          <w:tcPr>
            <w:tcW w:type="dxa" w:w="20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$400M</w:t>
            </w:r>
          </w:p>
        </w:tc>
        <w:tc>
          <w:tcPr>
            <w:tcW w:type="dxa" w:w="3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Continuation and expansion of existing programs</w:t>
            </w:r>
          </w:p>
        </w:tc>
      </w:tr>
      <w:tr>
        <w:tc>
          <w:tcPr>
            <w:tcW w:type="dxa" w:w="3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Veterans transition programs</w:t>
            </w:r>
          </w:p>
        </w:tc>
        <w:tc>
          <w:tcPr>
            <w:tcW w:type="dxa" w:w="20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$300M</w:t>
            </w:r>
          </w:p>
        </w:tc>
        <w:tc>
          <w:tcPr>
            <w:tcW w:type="dxa" w:w="3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VA-coordinated technical training expansion</w:t>
            </w:r>
          </w:p>
        </w:tc>
      </w:tr>
      <w:tr>
        <w:tc>
          <w:tcPr>
            <w:tcW w:type="dxa" w:w="3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Industry training pipeline requirements</w:t>
            </w:r>
          </w:p>
        </w:tc>
        <w:tc>
          <w:tcPr>
            <w:tcW w:type="dxa" w:w="20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$0</w:t>
            </w:r>
          </w:p>
        </w:tc>
        <w:tc>
          <w:tcPr>
            <w:tcW w:type="dxa" w:w="3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Federal contract requirement; cost to providers</w:t>
            </w:r>
          </w:p>
        </w:tc>
      </w:tr>
      <w:tr>
        <w:tc>
          <w:tcPr>
            <w:tcW w:type="dxa" w:w="3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Cross-trade transition bridging</w:t>
            </w:r>
          </w:p>
        </w:tc>
        <w:tc>
          <w:tcPr>
            <w:tcW w:type="dxa" w:w="20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$500M</w:t>
            </w:r>
          </w:p>
        </w:tc>
        <w:tc>
          <w:tcPr>
            <w:tcW w:type="dxa" w:w="3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New federal investment in apprenticeship pathways</w:t>
            </w:r>
          </w:p>
        </w:tc>
      </w:tr>
      <w:tr>
        <w:tc>
          <w:tcPr>
            <w:tcW w:type="dxa" w:w="3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Worker housing in deployment areas</w:t>
            </w:r>
          </w:p>
        </w:tc>
        <w:tc>
          <w:tcPr>
            <w:tcW w:type="dxa" w:w="20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$400M</w:t>
            </w:r>
          </w:p>
        </w:tc>
        <w:tc>
          <w:tcPr>
            <w:tcW w:type="dxa" w:w="3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Temporary housing for crews in rural deployment areas</w:t>
            </w:r>
          </w:p>
        </w:tc>
      </w:tr>
      <w:tr>
        <w:tc>
          <w:tcPr>
            <w:tcW w:type="dxa" w:w="3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Total annual workforce investment</w:t>
            </w:r>
          </w:p>
        </w:tc>
        <w:tc>
          <w:tcPr>
            <w:tcW w:type="dxa" w:w="20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$3.0B</w:t>
            </w:r>
          </w:p>
        </w:tc>
        <w:tc>
          <w:tcPr>
            <w:tcW w:type="dxa" w:w="3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Embedded in Path A's $50B annual federal cost</w:t>
            </w:r>
          </w:p>
        </w:tc>
      </w:tr>
    </w:tbl>
    <w:p>
      <w:pPr>
        <w:spacing w:after="240"/>
      </w:pPr>
      <w:r>
        <w:t xml:space="preserve"/>
      </w:r>
    </w:p>
    <w:p>
      <w:pPr>
        <w:spacing w:after="200" w:line="320"/>
        <w:jc w:val="both"/>
      </w:pPr>
      <w:r>
        <w:rPr>
          <w:rFonts w:ascii="Georgia" w:cs="Georgia" w:eastAsia="Georgia" w:hAnsi="Georgia"/>
          <w:color w:val="1A1A1A"/>
          <w:sz w:val="22"/>
          <w:szCs w:val="22"/>
        </w:rPr>
        <w:t xml:space="preserve">The $3 billion annual workforce investment is included within Path A's $50 billion total federal cost, not added on top. Workforce expansion is part of what the federal contract pays for; providers receiving federal payment must contribute to and participate in the training pipeline expansion.</w:t>
      </w:r>
    </w:p>
    <w:p>
      <w:pPr>
        <w:pStyle w:val="Heading2"/>
        <w:spacing w:after="160" w:before="360"/>
      </w:pPr>
      <w:r>
        <w:rPr>
          <w:rFonts w:ascii="Arial" w:cs="Arial" w:eastAsia="Arial" w:hAnsi="Arial"/>
          <w:b/>
          <w:bCs/>
          <w:color w:val="1F4E78"/>
          <w:sz w:val="28"/>
          <w:szCs w:val="28"/>
        </w:rPr>
        <w:t xml:space="preserve">Geographic Workforce Distribution</w:t>
      </w:r>
    </w:p>
    <w:p>
      <w:pPr>
        <w:spacing w:after="200" w:line="320"/>
        <w:jc w:val="both"/>
      </w:pPr>
      <w:r>
        <w:rPr>
          <w:rFonts w:ascii="Georgia" w:cs="Georgia" w:eastAsia="Georgia" w:hAnsi="Georgia"/>
          <w:color w:val="1A1A1A"/>
          <w:sz w:val="22"/>
          <w:szCs w:val="22"/>
        </w:rPr>
        <w:t xml:space="preserve">Workforce expansion isn't uniform across the country. Rural deployment requires workforce in rural areas; the existing workforce concentrates in metropolitan regions. Path A's geographic deployment strategy must be matched by geographic workforce strategy:</w:t>
      </w:r>
    </w:p>
    <w:p>
      <w:pPr>
        <w:spacing w:after="200" w:line="320"/>
        <w:jc w:val="both"/>
      </w:pPr>
      <w:r>
        <w:rPr>
          <w:rFonts w:ascii="Georgia" w:cs="Georgia" w:eastAsia="Georgia" w:hAnsi="Georgia"/>
          <w:color w:val="1A1A1A"/>
          <w:sz w:val="22"/>
          <w:szCs w:val="22"/>
        </w:rPr>
        <w:t xml:space="preserve">The coal worker retraining model demonstrates this can work. Former coal-producing regions (Appalachia, Wyoming, Western states) have produced approximately 8,000 retrained fiber workers per year through coordinated federal-state-industry programs. The displaced workforce is in roughly the right places (rural areas where new fiber deployment is needed). The bridging investment (training, equipment, certification, transition support) is what makes the workforce supply match the deployment demand.</w:t>
      </w:r>
    </w:p>
    <w:p>
      <w:pPr>
        <w:spacing w:after="200" w:line="320"/>
        <w:jc w:val="both"/>
      </w:pPr>
      <w:r>
        <w:rPr>
          <w:rFonts w:ascii="Georgia" w:cs="Georgia" w:eastAsia="Georgia" w:hAnsi="Georgia"/>
          <w:color w:val="1A1A1A"/>
          <w:sz w:val="22"/>
          <w:szCs w:val="22"/>
        </w:rPr>
        <w:t>For rural areas without coal industry transition (Great Plains, rural South, agricultural Midwest), the platform's workforce strategy uses community college programs, agricultural extension partnerships (United States Department of Agriculture (USDA)-funded), and cross-trade transitions from agricultural workers, electricians, and construction trades. Geographic alignment is workforce policy, not just training capacity.</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 xml:space="preserve">“Workforce capacity is the single most binding constraint. Coordinated training pipeline expansion across community colleges, apprenticeships, coal worker retraining, veterans programs, and industry pipelines produces ~75K new workers per year — enough to meet deployment demand.”</w:t>
            </w:r>
          </w:p>
        </w:tc>
      </w:tr>
    </w:tbl>
    <w:p>
      <w:r>
        <w:br w:type="page"/>
      </w:r>
    </w:p>
    <w:p>
      <w:pPr>
        <w:pStyle w:val="Heading1"/>
        <w:spacing w:after="240" w:before="480"/>
      </w:pPr>
      <w:r>
        <w:rPr>
          <w:rFonts w:ascii="Arial" w:cs="Arial" w:eastAsia="Arial" w:hAnsi="Arial"/>
          <w:b/>
          <w:bCs/>
          <w:color w:val="1F4E78"/>
          <w:sz w:val="36"/>
          <w:szCs w:val="36"/>
        </w:rPr>
        <w:t xml:space="preserve">Federal Contracting Architecture</w:t>
      </w:r>
    </w:p>
    <w:p>
      <w:pPr>
        <w:spacing w:after="240" w:line="340"/>
        <w:jc w:val="both"/>
      </w:pPr>
      <w:r>
        <w:rPr>
          <w:rFonts w:ascii="Georgia" w:cs="Georgia" w:eastAsia="Georgia" w:hAnsi="Georgia"/>
          <w:color w:val="1A1A1A"/>
          <w:sz w:val="24"/>
          <w:szCs w:val="24"/>
        </w:rPr>
        <w:t xml:space="preserve">Path A requires the federal government to pay providers per connection delivered, with universal service standards bound into contracts and quality monitoring enforcing the standards. This section specifies the federal contracting structure: who pays, who is paid, on what terms, with what oversight.</w:t>
      </w:r>
    </w:p>
    <w:p>
      <w:pPr>
        <w:spacing w:before="480"/>
        <w:jc w:val="center"/>
      </w:pPr>
      <w:r>
        <w:rPr>
          <w:rFonts w:ascii="Arial" w:cs="Arial" w:eastAsia="Arial" w:hAnsi="Arial"/>
          <w:i/>
          <w:iCs/>
          <w:color w:val="595959"/>
          <w:sz w:val="16"/>
          <w:szCs w:val="16"/>
        </w:rPr>
        <w:t>v2.26.2 inline note: The remainder of this Federal Contracting Architecture section describes Path A's wholesale-payment relationships with private internet service providers. Under Path B (per v2.26 architectural shift documented at the front of this document), the federal infrastructure operator owns the fiber directly and the relationships described below are restructured. The Federal Infrastructure Fee in item 78 documents the Path B cost recovery mechanism. The detailed wholesale-payment mechanics below remain useful for understanding the Path A/Path B contrast but are not the platform's current commitment. A future major release will rewrite this section for Path B; v2.26.2 is the inline note acknowledging the supersession.</w:t>
      </w:r>
    </w:p>
    <w:p>
      <w:pPr>
        <w:pStyle w:val="Heading2"/>
        <w:spacing w:after="160" w:before="360"/>
      </w:pPr>
      <w:r>
        <w:rPr>
          <w:rFonts w:ascii="Arial" w:cs="Arial" w:eastAsia="Arial" w:hAnsi="Arial"/>
          <w:b/>
          <w:bCs/>
          <w:color w:val="1F4E78"/>
          <w:sz w:val="28"/>
          <w:szCs w:val="28"/>
        </w:rPr>
        <w:t xml:space="preserve">The Federal Contracting Authority</w:t>
      </w:r>
    </w:p>
    <w:p>
      <w:pPr>
        <w:spacing w:after="200" w:line="320"/>
        <w:jc w:val="both"/>
      </w:pPr>
      <w:r>
        <w:rPr>
          <w:rFonts w:ascii="Georgia" w:cs="Georgia" w:eastAsia="Georgia" w:hAnsi="Georgia"/>
          <w:color w:val="1A1A1A"/>
          <w:sz w:val="22"/>
          <w:szCs w:val="22"/>
        </w:rPr>
        <w:t xml:space="preserve">Path A's contracting authority sits within the Civic Infrastructure Authority established in v2.3's framing document. Specifically, a Universal Broadband Service Office within the Authority handles provider qualification, contract awards, payment processing, quality monitoring, and dispute resolution. The Office's organizational structure parallels the Federal Highway Administration's role in highway construction contracting: federal funding flows through the Office to qualified providers; states and localities contribute to deployment through coordinated planning and right-of-way support; quality standards are federal but operations remain with providers.</w:t>
      </w:r>
    </w:p>
    <w:p>
      <w:pPr>
        <w:pStyle w:val="Heading2"/>
        <w:spacing w:after="160" w:before="360"/>
      </w:pPr>
      <w:r>
        <w:rPr>
          <w:rFonts w:ascii="Arial" w:cs="Arial" w:eastAsia="Arial" w:hAnsi="Arial"/>
          <w:b/>
          <w:bCs/>
          <w:color w:val="1F4E78"/>
          <w:sz w:val="28"/>
          <w:szCs w:val="28"/>
        </w:rPr>
        <w:t xml:space="preserve">Provider Qualification Standards</w:t>
      </w:r>
    </w:p>
    <w:p>
      <w:pPr>
        <w:spacing w:after="200" w:line="320"/>
        <w:jc w:val="both"/>
      </w:pPr>
      <w:r>
        <w:rPr>
          <w:rFonts w:ascii="Georgia" w:cs="Georgia" w:eastAsia="Georgia" w:hAnsi="Georgia"/>
          <w:color w:val="1A1A1A"/>
          <w:sz w:val="22"/>
          <w:szCs w:val="22"/>
        </w:rPr>
        <w:t xml:space="preserve">Any provider receiving federal payment for universal broadband service must meet qualification standards established by the Office:</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EAF2EE"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Provider qualification standards</w:t>
            </w:r>
          </w:p>
          <w:p>
            <w:pPr>
              <w:spacing w:after="100" w:line="280"/>
            </w:pPr>
            <w:r>
              <w:rPr>
                <w:rFonts w:ascii="Georgia" w:cs="Georgia" w:eastAsia="Georgia" w:hAnsi="Georgia"/>
                <w:color w:val="1A1A1A"/>
                <w:sz w:val="21"/>
                <w:szCs w:val="21"/>
              </w:rPr>
              <w:t xml:space="preserve">•  Universal service standards compliance: ability to deliver 100/20 Mbps minimum with documented operational capacity, network engineering, and customer support.</w:t>
            </w:r>
          </w:p>
          <w:p>
            <w:pPr>
              <w:spacing w:after="100" w:line="280"/>
            </w:pPr>
            <w:r>
              <w:rPr>
                <w:rFonts w:ascii="Georgia" w:cs="Georgia" w:eastAsia="Georgia" w:hAnsi="Georgia"/>
                <w:color w:val="1A1A1A"/>
                <w:sz w:val="21"/>
                <w:szCs w:val="21"/>
              </w:rPr>
              <w:t xml:space="preserve">•  Financial sustainability: provider must demonstrate operational financial stability sufficient to maintain service throughout contract term.</w:t>
            </w:r>
          </w:p>
          <w:p>
            <w:pPr>
              <w:spacing w:after="100" w:line="280"/>
            </w:pPr>
            <w:r>
              <w:rPr>
                <w:rFonts w:ascii="Georgia" w:cs="Georgia" w:eastAsia="Georgia" w:hAnsi="Georgia"/>
                <w:color w:val="1A1A1A"/>
                <w:sz w:val="21"/>
                <w:szCs w:val="21"/>
              </w:rPr>
              <w:t xml:space="preserve">•  Workforce participation: provider commits to workforce training pipeline participation (apprenticeships, certified trainee programs, or equivalent).</w:t>
            </w:r>
          </w:p>
          <w:p>
            <w:pPr>
              <w:spacing w:after="100" w:line="280"/>
            </w:pPr>
            <w:r>
              <w:rPr>
                <w:rFonts w:ascii="Georgia" w:cs="Georgia" w:eastAsia="Georgia" w:hAnsi="Georgia"/>
                <w:color w:val="1A1A1A"/>
                <w:sz w:val="21"/>
                <w:szCs w:val="21"/>
              </w:rPr>
              <w:t xml:space="preserve">•  Anti-discrimination: provider commits to serving all households in their contracted service area without redlining or discrimination.</w:t>
            </w:r>
          </w:p>
          <w:p>
            <w:pPr>
              <w:spacing w:after="100" w:line="280"/>
            </w:pPr>
            <w:r>
              <w:rPr>
                <w:rFonts w:ascii="Georgia" w:cs="Georgia" w:eastAsia="Georgia" w:hAnsi="Georgia"/>
                <w:color w:val="1A1A1A"/>
                <w:sz w:val="21"/>
                <w:szCs w:val="21"/>
              </w:rPr>
              <w:t xml:space="preserve">•  Network neutrality: provider commits to no application-specific throttling, port blocking, or anti-competitive routing for federally-contracted basic service.</w:t>
            </w:r>
          </w:p>
          <w:p>
            <w:pPr>
              <w:spacing w:after="100" w:line="280"/>
            </w:pPr>
            <w:r>
              <w:rPr>
                <w:rFonts w:ascii="Georgia" w:cs="Georgia" w:eastAsia="Georgia" w:hAnsi="Georgia"/>
                <w:color w:val="1A1A1A"/>
                <w:sz w:val="21"/>
                <w:szCs w:val="21"/>
              </w:rPr>
              <w:t xml:space="preserve">•  Privacy: provider commits to citizen data privacy standards (limited collection, customer-controlled, no sale of customer data without explicit consent).</w:t>
            </w:r>
          </w:p>
          <w:p>
            <w:pPr>
              <w:spacing w:after="100" w:line="280"/>
            </w:pPr>
            <w:r>
              <w:rPr>
                <w:rFonts w:ascii="Georgia" w:cs="Georgia" w:eastAsia="Georgia" w:hAnsi="Georgia"/>
                <w:color w:val="1A1A1A"/>
                <w:sz w:val="21"/>
                <w:szCs w:val="21"/>
              </w:rPr>
              <w:t xml:space="preserve">•  Technical interoperability: provider's customer authentication and identity systems integrate with federal civic platform identity infrastructure.</w:t>
            </w:r>
          </w:p>
          <w:p>
            <w:pPr>
              <w:spacing w:after="100" w:line="280"/>
            </w:pPr>
            <w:r>
              <w:rPr>
                <w:rFonts w:ascii="Georgia" w:cs="Georgia" w:eastAsia="Georgia" w:hAnsi="Georgia"/>
                <w:color w:val="1A1A1A"/>
                <w:sz w:val="21"/>
                <w:szCs w:val="21"/>
              </w:rPr>
              <w:t xml:space="preserve">•  Reporting and transparency: provider submits annual operational reports including service quality metrics, customer satisfaction surveys, infrastructure investment, and workforce composition.</w:t>
            </w:r>
          </w:p>
        </w:tc>
      </w:tr>
    </w:tbl>
    <w:p>
      <w:pPr>
        <w:pStyle w:val="Heading2"/>
        <w:spacing w:after="160" w:before="360"/>
      </w:pPr>
      <w:r>
        <w:rPr>
          <w:rFonts w:ascii="Arial" w:cs="Arial" w:eastAsia="Arial" w:hAnsi="Arial"/>
          <w:b/>
          <w:bCs/>
          <w:color w:val="1F4E78"/>
          <w:sz w:val="28"/>
          <w:szCs w:val="28"/>
        </w:rPr>
        <w:t xml:space="preserve">Provider Preference Hierarchy</w:t>
      </w:r>
    </w:p>
    <w:p>
      <w:pPr>
        <w:spacing w:after="200" w:line="320"/>
        <w:jc w:val="both"/>
      </w:pPr>
      <w:r>
        <w:rPr>
          <w:rFonts w:ascii="Georgia" w:cs="Georgia" w:eastAsia="Georgia" w:hAnsi="Georgia"/>
          <w:color w:val="1A1A1A"/>
          <w:sz w:val="22"/>
          <w:szCs w:val="22"/>
        </w:rPr>
        <w:t xml:space="preserve">The Office's contract award process uses a tiered preference structure:</w:t>
      </w:r>
    </w:p>
    <w:p>
      <w:pPr>
        <w:spacing w:after="200" w:line="320"/>
        <w:jc w:val="both"/>
      </w:pPr>
      <w:r>
        <w:rPr>
          <w:rFonts w:ascii="Georgia" w:cs="Georgia" w:eastAsia="Georgia" w:hAnsi="Georgia"/>
          <w:b/>
          <w:bCs/>
          <w:sz w:val="22"/>
          <w:szCs w:val="22"/>
        </w:rPr>
        <w:t xml:space="preserve">Tier 1: Rural electric cooperatives and municipal broadband authorities. </w:t>
      </w:r>
      <w:r>
        <w:rPr>
          <w:rFonts w:ascii="Georgia" w:cs="Georgia" w:eastAsia="Georgia" w:hAnsi="Georgia"/>
          <w:color w:val="1A1A1A"/>
          <w:sz w:val="22"/>
          <w:szCs w:val="22"/>
        </w:rPr>
        <w:t xml:space="preserve">Highest preference for federal contracts. Cost structure typically 15-25% below incumbent telecoms; local accountability; existing infrastructure access; non-extractive ownership. Tier 1 preference applies in any service area where qualifying cooperative or municipal provider exists or can be formed within 18 months.</w:t>
      </w:r>
    </w:p>
    <w:p>
      <w:pPr>
        <w:spacing w:after="200" w:line="320"/>
        <w:jc w:val="both"/>
      </w:pPr>
      <w:r>
        <w:rPr>
          <w:rFonts w:ascii="Georgia" w:cs="Georgia" w:eastAsia="Georgia" w:hAnsi="Georgia"/>
          <w:b/>
          <w:bCs/>
          <w:sz w:val="22"/>
          <w:szCs w:val="22"/>
        </w:rPr>
        <w:t xml:space="preserve">Tier 2: Regional fiber-only ISPs and Wireless ISPs. </w:t>
      </w:r>
      <w:r>
        <w:rPr>
          <w:rFonts w:ascii="Georgia" w:cs="Georgia" w:eastAsia="Georgia" w:hAnsi="Georgia"/>
          <w:color w:val="1A1A1A"/>
          <w:sz w:val="22"/>
          <w:szCs w:val="22"/>
        </w:rPr>
        <w:t xml:space="preserve">Second preference. Smaller commercial operators with strong service quality records and reasonable cost structures. Many existing rural broadband operators fall in this tier. Federal contracts go to Tier 2 providers in service areas where Tier 1 alternatives don't exist or aren't viable.</w:t>
      </w:r>
    </w:p>
    <w:p>
      <w:pPr>
        <w:spacing w:after="200" w:line="320"/>
        <w:jc w:val="both"/>
      </w:pPr>
      <w:r>
        <w:rPr>
          <w:rFonts w:ascii="Georgia" w:cs="Georgia" w:eastAsia="Georgia" w:hAnsi="Georgia"/>
          <w:b/>
          <w:bCs/>
          <w:sz w:val="22"/>
          <w:szCs w:val="22"/>
        </w:rPr>
        <w:t xml:space="preserve">Tier 3: Incumbent telecoms (Verizon, AT&amp;T, Lumen, Comcast, etc.). </w:t>
      </w:r>
      <w:r>
        <w:rPr>
          <w:rFonts w:ascii="Georgia" w:cs="Georgia" w:eastAsia="Georgia" w:hAnsi="Georgia"/>
          <w:color w:val="1A1A1A"/>
          <w:sz w:val="22"/>
          <w:szCs w:val="22"/>
        </w:rPr>
        <w:t xml:space="preserve">Third preference. Largest operators with broadest existing infrastructure but typically higher cost structures and weaker service records in rural markets. Federal contracts go to Tier 3 providers where Tier 1 and Tier 2 alternatives aren't viable, or where existing infrastructure makes incumbent provision genuinely most efficient.</w:t>
      </w:r>
    </w:p>
    <w:p>
      <w:pPr>
        <w:spacing w:after="200" w:line="320"/>
        <w:jc w:val="both"/>
      </w:pPr>
      <w:r>
        <w:rPr>
          <w:rFonts w:ascii="Georgia" w:cs="Georgia" w:eastAsia="Georgia" w:hAnsi="Georgia"/>
          <w:b/>
          <w:bCs/>
          <w:sz w:val="22"/>
          <w:szCs w:val="22"/>
        </w:rPr>
        <w:t xml:space="preserve">Tier 4: LEO satellite operators. </w:t>
      </w:r>
      <w:r>
        <w:rPr>
          <w:rFonts w:ascii="Georgia" w:cs="Georgia" w:eastAsia="Georgia" w:hAnsi="Georgia"/>
          <w:color w:val="1A1A1A"/>
          <w:sz w:val="22"/>
          <w:szCs w:val="22"/>
        </w:rPr>
        <w:t xml:space="preserve">Backstop tier. Federal contracts go to satellite providers for households where terrestrial alternatives are uneconomic at any reasonable scale. Currently primarily SpaceX (Starlink); Amazon (Kuiper) entering operational service in 2025-2026; potential additional providers as the LEO satellite market matures.</w:t>
      </w:r>
    </w:p>
    <w:p>
      <w:pPr>
        <w:pStyle w:val="Heading2"/>
        <w:spacing w:after="160" w:before="360"/>
      </w:pPr>
      <w:r>
        <w:rPr>
          <w:rFonts w:ascii="Arial" w:cs="Arial" w:eastAsia="Arial" w:hAnsi="Arial"/>
          <w:b/>
          <w:bCs/>
          <w:color w:val="1F4E78"/>
          <w:sz w:val="28"/>
          <w:szCs w:val="28"/>
        </w:rPr>
        <w:t xml:space="preserve">Per-Connection Wholesale Payment Structure</w:t>
      </w:r>
    </w:p>
    <w:p>
      <w:pPr>
        <w:spacing w:after="200" w:line="320"/>
        <w:jc w:val="both"/>
      </w:pPr>
      <w:r>
        <w:rPr>
          <w:rFonts w:ascii="Georgia" w:cs="Georgia" w:eastAsia="Georgia" w:hAnsi="Georgia"/>
          <w:color w:val="1A1A1A"/>
          <w:sz w:val="22"/>
          <w:szCs w:val="22"/>
        </w:rPr>
        <w:t xml:space="preserve">The federal contract pays providers per connection delivered with universal service standards met. Payment structure:</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8F4E8"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Payment structure mechanics</w:t>
            </w:r>
          </w:p>
          <w:p>
            <w:pPr>
              <w:spacing w:after="100" w:line="280"/>
            </w:pPr>
            <w:r>
              <w:rPr>
                <w:rFonts w:ascii="Georgia" w:cs="Georgia" w:eastAsia="Georgia" w:hAnsi="Georgia"/>
                <w:color w:val="1A1A1A"/>
                <w:sz w:val="21"/>
                <w:szCs w:val="21"/>
              </w:rPr>
              <w:t xml:space="preserve">•  Per-connection per-month wholesale payment, paid monthly to provider for each verified active connection.</w:t>
            </w:r>
          </w:p>
          <w:p>
            <w:pPr>
              <w:spacing w:after="100" w:line="280"/>
            </w:pPr>
            <w:r>
              <w:rPr>
                <w:rFonts w:ascii="Georgia" w:cs="Georgia" w:eastAsia="Georgia" w:hAnsi="Georgia"/>
                <w:color w:val="1A1A1A"/>
                <w:sz w:val="21"/>
                <w:szCs w:val="21"/>
              </w:rPr>
              <w:t xml:space="preserve">•  Wholesale price negotiated per service area and provider tier, ranging from approximately $26/month (urban/suburban dense fiber) to $60/month (LEO satellite frontier).</w:t>
            </w:r>
          </w:p>
          <w:p>
            <w:pPr>
              <w:spacing w:after="100" w:line="280"/>
            </w:pPr>
            <w:r>
              <w:rPr>
                <w:rFonts w:ascii="Georgia" w:cs="Georgia" w:eastAsia="Georgia" w:hAnsi="Georgia"/>
                <w:color w:val="1A1A1A"/>
                <w:sz w:val="21"/>
                <w:szCs w:val="21"/>
              </w:rPr>
              <w:t xml:space="preserve">•  Service area pricing follows competitive dynamics: areas with multiple qualified providers see lower wholesale prices; areas with single qualified provider have prices set by federal cost analysis with provider input.</w:t>
            </w:r>
          </w:p>
          <w:p>
            <w:pPr>
              <w:spacing w:after="100" w:line="280"/>
            </w:pPr>
            <w:r>
              <w:rPr>
                <w:rFonts w:ascii="Georgia" w:cs="Georgia" w:eastAsia="Georgia" w:hAnsi="Georgia"/>
                <w:color w:val="1A1A1A"/>
                <w:sz w:val="21"/>
                <w:szCs w:val="21"/>
              </w:rPr>
              <w:t xml:space="preserve">•  Quality penalties: providers failing universal service standards see payment reductions of 5-25% depending on severity and duration. Persistent failures trigger contract termination and reassignment to backup provider.</w:t>
            </w:r>
          </w:p>
          <w:p>
            <w:pPr>
              <w:spacing w:after="100" w:line="280"/>
            </w:pPr>
            <w:r>
              <w:rPr>
                <w:rFonts w:ascii="Georgia" w:cs="Georgia" w:eastAsia="Georgia" w:hAnsi="Georgia"/>
                <w:color w:val="1A1A1A"/>
                <w:sz w:val="21"/>
                <w:szCs w:val="21"/>
              </w:rPr>
              <w:t xml:space="preserve">•  Quality bonuses: providers exceeding service standards (faster speeds, better reliability, higher customer satisfaction) receive 2-10% premium payments.</w:t>
            </w:r>
          </w:p>
          <w:p>
            <w:pPr>
              <w:spacing w:after="100" w:line="280"/>
            </w:pPr>
            <w:r>
              <w:rPr>
                <w:rFonts w:ascii="Georgia" w:cs="Georgia" w:eastAsia="Georgia" w:hAnsi="Georgia"/>
                <w:color w:val="1A1A1A"/>
                <w:sz w:val="21"/>
                <w:szCs w:val="21"/>
              </w:rPr>
              <w:t xml:space="preserve">•  Workforce participation bonus: providers exceeding training pipeline participation requirements receive additional 1-3% premium.</w:t>
            </w:r>
          </w:p>
          <w:p>
            <w:pPr>
              <w:spacing w:after="100" w:line="280"/>
            </w:pPr>
            <w:r>
              <w:rPr>
                <w:rFonts w:ascii="Georgia" w:cs="Georgia" w:eastAsia="Georgia" w:hAnsi="Georgia"/>
                <w:color w:val="1A1A1A"/>
                <w:sz w:val="21"/>
                <w:szCs w:val="21"/>
              </w:rPr>
              <w:t xml:space="preserve">•  Annual contract renewal: contracts run 7-year terms (matching deployment buildout) with annual renewal subject to performance review, then transition to 5-year terms post-deployment.</w:t>
            </w:r>
          </w:p>
          <w:p>
            <w:pPr>
              <w:spacing w:after="100" w:line="280"/>
            </w:pPr>
            <w:r>
              <w:rPr>
                <w:rFonts w:ascii="Georgia" w:cs="Georgia" w:eastAsia="Georgia" w:hAnsi="Georgia"/>
                <w:color w:val="1A1A1A"/>
                <w:sz w:val="21"/>
                <w:szCs w:val="21"/>
              </w:rPr>
              <w:t xml:space="preserve">•  Contract assignment: providers may not assign federal contracts to other entities without Office approval; this prevents the contract from being sold off to non-qualified operators.</w:t>
            </w:r>
          </w:p>
        </w:tc>
      </w:tr>
    </w:tbl>
    <w:p>
      <w:pPr>
        <w:pStyle w:val="Heading2"/>
        <w:spacing w:after="160" w:before="360"/>
      </w:pPr>
      <w:r>
        <w:rPr>
          <w:rFonts w:ascii="Arial" w:cs="Arial" w:eastAsia="Arial" w:hAnsi="Arial"/>
          <w:b/>
          <w:bCs/>
          <w:color w:val="1F4E78"/>
          <w:sz w:val="28"/>
          <w:szCs w:val="28"/>
        </w:rPr>
        <w:t xml:space="preserve">Quality Monitoring and Enforcement</w:t>
      </w:r>
    </w:p>
    <w:p>
      <w:pPr>
        <w:spacing w:after="200" w:line="320"/>
        <w:jc w:val="both"/>
      </w:pPr>
      <w:r>
        <w:rPr>
          <w:rFonts w:ascii="Georgia" w:cs="Georgia" w:eastAsia="Georgia" w:hAnsi="Georgia"/>
          <w:color w:val="1A1A1A"/>
          <w:sz w:val="22"/>
          <w:szCs w:val="22"/>
        </w:rPr>
        <w:t xml:space="preserve">Universal service standards in contracts mean nothing without monitoring and enforcement. The Office maintains:</w:t>
      </w:r>
    </w:p>
    <w:p>
      <w:pPr>
        <w:spacing w:after="200" w:line="320"/>
        <w:jc w:val="both"/>
      </w:pPr>
      <w:r>
        <w:rPr>
          <w:rFonts w:ascii="Georgia" w:cs="Georgia" w:eastAsia="Georgia" w:hAnsi="Georgia"/>
          <w:color w:val="1A1A1A"/>
          <w:sz w:val="22"/>
          <w:szCs w:val="22"/>
        </w:rPr>
        <w:t xml:space="preserve">Continuous service monitoring: automated speed tests, latency measurements, uptime tracking, outage detection across all federally-contracted service. Provider-reported metrics validated by independent third-party monitoring. Citizen complaint mechanisms with 30-day response requirement for service quality issues. Annual provider audits including infrastructure inspection, financial review, customer satisfaction surveys, workforce composition documentation. Public quality reporting: aggregated provider performance data published annually for citizen review and provider comparison. Contract termination procedures: providers failing to meet standards over 90-day period subject to contract termination with provider replacement managed by the Office to ensure no service disruption.</w:t>
      </w:r>
    </w:p>
    <w:p>
      <w:pPr>
        <w:pStyle w:val="Heading2"/>
        <w:spacing w:after="160" w:before="360"/>
      </w:pPr>
      <w:r>
        <w:rPr>
          <w:rFonts w:ascii="Arial" w:cs="Arial" w:eastAsia="Arial" w:hAnsi="Arial"/>
          <w:b/>
          <w:bCs/>
          <w:color w:val="1F4E78"/>
          <w:sz w:val="28"/>
          <w:szCs w:val="28"/>
        </w:rPr>
        <w:t xml:space="preserve">Industry Transition Support</w:t>
      </w:r>
    </w:p>
    <w:p>
      <w:pPr>
        <w:spacing w:after="200" w:line="320"/>
        <w:jc w:val="both"/>
      </w:pPr>
      <w:r>
        <w:rPr>
          <w:rFonts w:ascii="Georgia" w:cs="Georgia" w:eastAsia="Georgia" w:hAnsi="Georgia"/>
          <w:color w:val="1A1A1A"/>
          <w:sz w:val="22"/>
          <w:szCs w:val="22"/>
        </w:rPr>
        <w:t xml:space="preserve">Path A's commitment includes managed transition for the existing private broadband retail industry. The transition isn't "providers lose the market" but "providers shift from retail customer acquisition to federal contract delivery." The economic implications:</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8E8E8"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Industry transition economics</w:t>
            </w:r>
          </w:p>
          <w:p>
            <w:pPr>
              <w:spacing w:after="100" w:line="280"/>
            </w:pPr>
            <w:r>
              <w:rPr>
                <w:rFonts w:ascii="Georgia" w:cs="Georgia" w:eastAsia="Georgia" w:hAnsi="Georgia"/>
                <w:color w:val="1A1A1A"/>
                <w:sz w:val="21"/>
                <w:szCs w:val="21"/>
              </w:rPr>
              <w:t xml:space="preserve">•  Existing private retail revenue: ~$111B/year (120M paying subscribers × $77/mo).</w:t>
            </w:r>
          </w:p>
          <w:p>
            <w:pPr>
              <w:spacing w:after="100" w:line="280"/>
            </w:pPr>
            <w:r>
              <w:rPr>
                <w:rFonts w:ascii="Georgia" w:cs="Georgia" w:eastAsia="Georgia" w:hAnsi="Georgia"/>
                <w:color w:val="1A1A1A"/>
                <w:sz w:val="21"/>
                <w:szCs w:val="21"/>
              </w:rPr>
              <w:t xml:space="preserve">•  Path A federal wholesale payments to providers: ~$50B/year.</w:t>
            </w:r>
          </w:p>
          <w:p>
            <w:pPr>
              <w:spacing w:after="100" w:line="280"/>
            </w:pPr>
            <w:r>
              <w:rPr>
                <w:rFonts w:ascii="Georgia" w:cs="Georgia" w:eastAsia="Georgia" w:hAnsi="Georgia"/>
                <w:color w:val="1A1A1A"/>
                <w:sz w:val="21"/>
                <w:szCs w:val="21"/>
              </w:rPr>
              <w:t xml:space="preserve">•  Premium tier private market revenue continuing: ~$19B/year (30% of households × $40/mo for premium upgrades).</w:t>
            </w:r>
          </w:p>
          <w:p>
            <w:pPr>
              <w:spacing w:after="100" w:line="280"/>
            </w:pPr>
            <w:r>
              <w:rPr>
                <w:rFonts w:ascii="Georgia" w:cs="Georgia" w:eastAsia="Georgia" w:hAnsi="Georgia"/>
                <w:color w:val="1A1A1A"/>
                <w:sz w:val="21"/>
                <w:szCs w:val="21"/>
              </w:rPr>
              <w:t xml:space="preserve">•  Total provider revenue under Path A: ~$69B/year (federal + private).</w:t>
            </w:r>
          </w:p>
          <w:p>
            <w:pPr>
              <w:spacing w:after="100" w:line="280"/>
            </w:pPr>
            <w:r>
              <w:rPr>
                <w:rFonts w:ascii="Georgia" w:cs="Georgia" w:eastAsia="Georgia" w:hAnsi="Georgia"/>
                <w:color w:val="1A1A1A"/>
                <w:sz w:val="21"/>
                <w:szCs w:val="21"/>
              </w:rPr>
              <w:t xml:space="preserve">•  Net provider revenue change: approximately -$42B/year vs status quo (-38%).</w:t>
            </w:r>
          </w:p>
          <w:p>
            <w:pPr>
              <w:spacing w:after="100" w:line="280"/>
            </w:pPr>
            <w:r>
              <w:rPr>
                <w:rFonts w:ascii="Georgia" w:cs="Georgia" w:eastAsia="Georgia" w:hAnsi="Georgia"/>
                <w:color w:val="1A1A1A"/>
                <w:sz w:val="21"/>
                <w:szCs w:val="21"/>
              </w:rPr>
              <w:t xml:space="preserve">•  Workforce impact: deployment workforce expands from 65K to 165K (+154%); customer-facing workforce (retail sales, marketing, customer acquisition) declines substantially. Net workforce: roughly stable, with composition shifting toward technical roles.</w:t>
            </w:r>
          </w:p>
          <w:p>
            <w:pPr>
              <w:spacing w:after="100" w:line="280"/>
            </w:pPr>
            <w:r>
              <w:rPr>
                <w:rFonts w:ascii="Georgia" w:cs="Georgia" w:eastAsia="Georgia" w:hAnsi="Georgia"/>
                <w:color w:val="1A1A1A"/>
                <w:sz w:val="21"/>
                <w:szCs w:val="21"/>
              </w:rPr>
              <w:t xml:space="preserve">•  Industry consolidation likely: smaller incumbent operators may exit or merge given retail margin compression; cooperative and municipal sector expands; independent fiber-only ISPs grow.</w:t>
            </w:r>
          </w:p>
          <w:p>
            <w:pPr>
              <w:spacing w:after="100" w:line="280"/>
            </w:pPr>
            <w:r>
              <w:rPr>
                <w:rFonts w:ascii="Georgia" w:cs="Georgia" w:eastAsia="Georgia" w:hAnsi="Georgia"/>
                <w:color w:val="1A1A1A"/>
                <w:sz w:val="21"/>
                <w:szCs w:val="21"/>
              </w:rPr>
              <w:t xml:space="preserve">•  Shareholder impact: incumbent telecom shareholders face significant reduction in retail margin earnings; market valuations decline accordingly. This is the disruption Path A produces; honest acknowledgment matters.</w:t>
            </w:r>
          </w:p>
        </w:tc>
      </w:tr>
    </w:tbl>
    <w:p>
      <w:pPr>
        <w:spacing w:after="200" w:line="320"/>
        <w:jc w:val="both"/>
      </w:pPr>
      <w:r>
        <w:rPr>
          <w:rFonts w:ascii="Georgia" w:cs="Georgia" w:eastAsia="Georgia" w:hAnsi="Georgia"/>
          <w:color w:val="1A1A1A"/>
          <w:sz w:val="22"/>
          <w:szCs w:val="22"/>
        </w:rPr>
        <w:t xml:space="preserve">The platform's broader workforce architecture supports affected industry workers through retraining (the same training pipeline expansion that creates fiber deployment workforce), early retirement support for older workers, and entrepreneurship support for workers wanting to form cooperatives or independent ISPs. This isn't elimination of the industry; it's restructuring.</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 xml:space="preserve">“The transition isn't ‘providers lose the market’ but ‘providers shift from retail customer acquisition to federal contract delivery.’ Workforce composition shifts toward technical roles; net workforce is roughly stable.”</w:t>
            </w:r>
          </w:p>
        </w:tc>
      </w:tr>
    </w:tbl>
    <w:p>
      <w:r>
        <w:br w:type="page"/>
      </w:r>
    </w:p>
    <w:p>
      <w:pPr>
        <w:pStyle w:val="Heading1"/>
        <w:spacing w:after="240" w:before="480"/>
      </w:pPr>
      <w:r>
        <w:rPr>
          <w:rFonts w:ascii="Arial" w:cs="Arial" w:eastAsia="Arial" w:hAnsi="Arial"/>
          <w:b/>
          <w:bCs/>
          <w:color w:val="1F4E78"/>
          <w:sz w:val="36"/>
          <w:szCs w:val="36"/>
        </w:rPr>
        <w:t xml:space="preserve">Regulatory Reform Required</w:t>
      </w:r>
    </w:p>
    <w:p>
      <w:pPr>
        <w:spacing w:after="240" w:line="340"/>
        <w:jc w:val="both"/>
      </w:pPr>
      <w:r>
        <w:rPr>
          <w:rFonts w:ascii="Georgia" w:cs="Georgia" w:eastAsia="Georgia" w:hAnsi="Georgia"/>
          <w:color w:val="1A1A1A"/>
          <w:sz w:val="24"/>
          <w:szCs w:val="24"/>
        </w:rPr>
        <w:t xml:space="preserve">Path A's deployment timeline depends on regulatory reforms that current federal-state-local broadband regulation actively blocks. This section identifies the specific reforms required and the legislative and administrative pathways for each.</w:t>
      </w:r>
    </w:p>
    <w:p>
      <w:pPr>
        <w:pStyle w:val="Heading2"/>
        <w:spacing w:after="160" w:before="360"/>
      </w:pPr>
      <w:r>
        <w:rPr>
          <w:rFonts w:ascii="Arial" w:cs="Arial" w:eastAsia="Arial" w:hAnsi="Arial"/>
          <w:b/>
          <w:bCs/>
          <w:color w:val="1F4E78"/>
          <w:sz w:val="28"/>
          <w:szCs w:val="28"/>
        </w:rPr>
        <w:t xml:space="preserve">FCC Mapping Reform</w:t>
      </w:r>
    </w:p>
    <w:p>
      <w:pPr>
        <w:spacing w:after="200" w:line="320"/>
        <w:jc w:val="both"/>
      </w:pPr>
      <w:r>
        <w:rPr>
          <w:rFonts w:ascii="Georgia" w:cs="Georgia" w:eastAsia="Georgia" w:hAnsi="Georgia"/>
          <w:color w:val="1A1A1A"/>
          <w:sz w:val="22"/>
          <w:szCs w:val="22"/>
        </w:rPr>
        <w:t xml:space="preserve">Current FCC broadband mapping has been criticized for substantially overstating coverage. Census-tract-level mapping treats a tract as 'served' if even one household has access; in large rural tracts, an entire community can be uncounted as unserved while the tract is officially counted as served. This mapping inaccuracy currently blocks federal funding from reaching genuinely unserved areas.</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EAF2EE"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FCC mapping reform requirements</w:t>
            </w:r>
          </w:p>
          <w:p>
            <w:pPr>
              <w:spacing w:after="100" w:line="280"/>
            </w:pPr>
            <w:r>
              <w:rPr>
                <w:rFonts w:ascii="Georgia" w:cs="Georgia" w:eastAsia="Georgia" w:hAnsi="Georgia"/>
                <w:color w:val="1A1A1A"/>
                <w:sz w:val="21"/>
                <w:szCs w:val="21"/>
              </w:rPr>
              <w:t xml:space="preserve">•  Parcel-level mapping rather than census-tract: each individual address mapped for service availability, not aggregated to tract level.</w:t>
            </w:r>
          </w:p>
          <w:p>
            <w:pPr>
              <w:spacing w:after="100" w:line="280"/>
            </w:pPr>
            <w:r>
              <w:rPr>
                <w:rFonts w:ascii="Georgia" w:cs="Georgia" w:eastAsia="Georgia" w:hAnsi="Georgia"/>
                <w:color w:val="1A1A1A"/>
                <w:sz w:val="21"/>
                <w:szCs w:val="21"/>
              </w:rPr>
              <w:t xml:space="preserve">•  Provider attestation requirements: providers reporting coverage must attest to specific addresses served, not service-area boundaries.</w:t>
            </w:r>
          </w:p>
          <w:p>
            <w:pPr>
              <w:spacing w:after="100" w:line="280"/>
            </w:pPr>
            <w:r>
              <w:rPr>
                <w:rFonts w:ascii="Georgia" w:cs="Georgia" w:eastAsia="Georgia" w:hAnsi="Georgia"/>
                <w:color w:val="1A1A1A"/>
                <w:sz w:val="21"/>
                <w:szCs w:val="21"/>
              </w:rPr>
              <w:t xml:space="preserve">•  Citizen verification mechanism: households can challenge mapping inaccuracies (claiming to be unserved despite being mapped as served), with FCC investigation and correction requirement.</w:t>
            </w:r>
          </w:p>
          <w:p>
            <w:pPr>
              <w:spacing w:after="100" w:line="280"/>
            </w:pPr>
            <w:r>
              <w:rPr>
                <w:rFonts w:ascii="Georgia" w:cs="Georgia" w:eastAsia="Georgia" w:hAnsi="Georgia"/>
                <w:color w:val="1A1A1A"/>
                <w:sz w:val="21"/>
                <w:szCs w:val="21"/>
              </w:rPr>
              <w:t xml:space="preserve">•  Funding eligibility tied to verified mapping: federal Path A contracts go to areas verified as needing service, with mapping inaccuracies blocking incorrect 'served' designations.</w:t>
            </w:r>
          </w:p>
          <w:p>
            <w:pPr>
              <w:spacing w:after="100" w:line="280"/>
            </w:pPr>
            <w:r>
              <w:rPr>
                <w:rFonts w:ascii="Georgia" w:cs="Georgia" w:eastAsia="Georgia" w:hAnsi="Georgia"/>
                <w:color w:val="1A1A1A"/>
                <w:sz w:val="21"/>
                <w:szCs w:val="21"/>
              </w:rPr>
              <w:t xml:space="preserve">•  State broadband office coordination: states maintain their own broadband mapping; FCC mapping must align with or accept state mapping where state mapping is more accurate.</w:t>
            </w:r>
          </w:p>
          <w:p>
            <w:pPr>
              <w:spacing w:after="100" w:line="280"/>
            </w:pPr>
            <w:r>
              <w:rPr>
                <w:rFonts w:ascii="Georgia" w:cs="Georgia" w:eastAsia="Georgia" w:hAnsi="Georgia"/>
                <w:color w:val="1A1A1A"/>
                <w:sz w:val="21"/>
                <w:szCs w:val="21"/>
              </w:rPr>
              <w:t xml:space="preserve">•  Annual mapping update cycle: rather than infrequent updates that grow stale, mapping updates continuously as service is deployed and verified.</w:t>
            </w:r>
          </w:p>
          <w:p>
            <w:pPr>
              <w:spacing w:after="100" w:line="280"/>
            </w:pPr>
            <w:r>
              <w:rPr>
                <w:rFonts w:ascii="Georgia" w:cs="Georgia" w:eastAsia="Georgia" w:hAnsi="Georgia"/>
                <w:color w:val="1A1A1A"/>
                <w:sz w:val="21"/>
                <w:szCs w:val="21"/>
              </w:rPr>
              <w:t xml:space="preserve">•  Public mapping access: citizens can view mapping for their addresses and surrounding areas, with appeals mechanism for inaccuracies.</w:t>
            </w:r>
          </w:p>
        </w:tc>
      </w:tr>
    </w:tbl>
    <w:p>
      <w:pPr>
        <w:spacing w:after="200" w:line="320"/>
        <w:jc w:val="both"/>
      </w:pPr>
      <w:r>
        <w:rPr>
          <w:rFonts w:ascii="Georgia" w:cs="Georgia" w:eastAsia="Georgia" w:hAnsi="Georgia"/>
          <w:color w:val="1A1A1A"/>
          <w:sz w:val="22"/>
          <w:szCs w:val="22"/>
        </w:rPr>
        <w:t xml:space="preserve">Implementation pathway: FCC rulemaking under existing statutory authority, with congressional appropriation for mapping infrastructure investment. The reforms don't require new legislation but do require sustained FCC attention and investment. Estimated cost: $200-300 million one-time mapping infrastructure investment plus $50-100 million annual operations.</w:t>
      </w:r>
    </w:p>
    <w:p>
      <w:pPr>
        <w:pStyle w:val="Heading2"/>
        <w:spacing w:after="160" w:before="360"/>
      </w:pPr>
      <w:r>
        <w:rPr>
          <w:rFonts w:ascii="Arial" w:cs="Arial" w:eastAsia="Arial" w:hAnsi="Arial"/>
          <w:b/>
          <w:bCs/>
          <w:color w:val="1F4E78"/>
          <w:sz w:val="28"/>
          <w:szCs w:val="28"/>
        </w:rPr>
        <w:t xml:space="preserve">Pole Attachment Reform</w:t>
      </w:r>
    </w:p>
    <w:p>
      <w:pPr>
        <w:spacing w:after="200" w:line="320"/>
        <w:jc w:val="both"/>
      </w:pPr>
      <w:r>
        <w:rPr>
          <w:rFonts w:ascii="Georgia" w:cs="Georgia" w:eastAsia="Georgia" w:hAnsi="Georgia"/>
          <w:color w:val="1A1A1A"/>
          <w:sz w:val="22"/>
          <w:szCs w:val="22"/>
        </w:rPr>
        <w:t xml:space="preserve">Running fiber on existing utility poles is the most economical fiber deployment method in many areas. Current pole attachment regulations, however, allow incumbent pole owners (typically utilities or established telecoms) to slow-walk attachment approvals for new entrants, blocking competitive fiber deployment for years. The platform's deployment timeline can't tolerate years of regulatory delay per service area.</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EAF2EE"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Pole attachment reforms required</w:t>
            </w:r>
          </w:p>
          <w:p>
            <w:pPr>
              <w:spacing w:after="100" w:line="280"/>
            </w:pPr>
            <w:r>
              <w:rPr>
                <w:rFonts w:ascii="Georgia" w:cs="Georgia" w:eastAsia="Georgia" w:hAnsi="Georgia"/>
                <w:color w:val="1A1A1A"/>
                <w:sz w:val="21"/>
                <w:szCs w:val="21"/>
              </w:rPr>
              <w:t xml:space="preserve">•  One-touch make-ready as default: when a new attacher requests pole space, all existing attachments are repositioned in a single coordinated effort by a single contractor, rather than each existing attacher repositioning on their own schedule. Reduces deployment time from 12-24 months to 1-3 months.</w:t>
            </w:r>
          </w:p>
          <w:p>
            <w:pPr>
              <w:spacing w:after="100" w:line="280"/>
            </w:pPr>
            <w:r>
              <w:rPr>
                <w:rFonts w:ascii="Georgia" w:cs="Georgia" w:eastAsia="Georgia" w:hAnsi="Georgia"/>
                <w:color w:val="1A1A1A"/>
                <w:sz w:val="21"/>
                <w:szCs w:val="21"/>
              </w:rPr>
              <w:t xml:space="preserve">•  Federal pre-emption of state delays: federal pre-emption of state-level pole attachment processes that exceed maximum timelines. States retain authority over many infrastructure issues but not the ability to block federal universal broadband deployment indefinitely.</w:t>
            </w:r>
          </w:p>
          <w:p>
            <w:pPr>
              <w:spacing w:after="100" w:line="280"/>
            </w:pPr>
            <w:r>
              <w:rPr>
                <w:rFonts w:ascii="Georgia" w:cs="Georgia" w:eastAsia="Georgia" w:hAnsi="Georgia"/>
                <w:color w:val="1A1A1A"/>
                <w:sz w:val="21"/>
                <w:szCs w:val="21"/>
              </w:rPr>
              <w:t xml:space="preserve">•  Maximum approval timeline: 90 days for pole attachment approval after request, with attachments deemed approved if no response within timeline.</w:t>
            </w:r>
          </w:p>
          <w:p>
            <w:pPr>
              <w:spacing w:after="100" w:line="280"/>
            </w:pPr>
            <w:r>
              <w:rPr>
                <w:rFonts w:ascii="Georgia" w:cs="Georgia" w:eastAsia="Georgia" w:hAnsi="Georgia"/>
                <w:color w:val="1A1A1A"/>
                <w:sz w:val="21"/>
                <w:szCs w:val="21"/>
              </w:rPr>
              <w:t xml:space="preserve">•  Cost recovery formulas: pole attachment fees set at FCC formula rate, not negotiated case-by-case; existing pole owners cannot use fee inflation to block competitive deployment.</w:t>
            </w:r>
          </w:p>
          <w:p>
            <w:pPr>
              <w:spacing w:after="100" w:line="280"/>
            </w:pPr>
            <w:r>
              <w:rPr>
                <w:rFonts w:ascii="Georgia" w:cs="Georgia" w:eastAsia="Georgia" w:hAnsi="Georgia"/>
                <w:color w:val="1A1A1A"/>
                <w:sz w:val="21"/>
                <w:szCs w:val="21"/>
              </w:rPr>
              <w:t xml:space="preserve">•  Dispute resolution: disputes between pole owners and attachers go to FCC Enforcement Bureau rather than state PUCs, with binding decisions and damages for delay-related deployment costs.</w:t>
            </w:r>
          </w:p>
          <w:p>
            <w:pPr>
              <w:spacing w:after="100" w:line="280"/>
            </w:pPr>
            <w:r>
              <w:rPr>
                <w:rFonts w:ascii="Georgia" w:cs="Georgia" w:eastAsia="Georgia" w:hAnsi="Georgia"/>
                <w:color w:val="1A1A1A"/>
                <w:sz w:val="21"/>
                <w:szCs w:val="21"/>
              </w:rPr>
              <w:t xml:space="preserve">•  Cooperative-to-cooperative attachment standards: rural electric cooperatives owning poles must accept fiber attachments from other cooperatives or municipal broadband authorities at standardized terms.</w:t>
            </w:r>
          </w:p>
        </w:tc>
      </w:tr>
    </w:tbl>
    <w:p>
      <w:pPr>
        <w:spacing w:after="200" w:line="320"/>
        <w:jc w:val="both"/>
      </w:pPr>
      <w:r>
        <w:rPr>
          <w:rFonts w:ascii="Georgia" w:cs="Georgia" w:eastAsia="Georgia" w:hAnsi="Georgia"/>
          <w:color w:val="1A1A1A"/>
          <w:sz w:val="22"/>
          <w:szCs w:val="22"/>
        </w:rPr>
        <w:t xml:space="preserve">Implementation pathway: combination of FCC rulemaking under Communications Act authority, congressional clarification of federal pre-emption (likely needed to overcome state-level pushback), and standardized cooperative agreements. Existing one-touch make-ready rules at federal level need stronger enforcement teeth.</w:t>
      </w:r>
    </w:p>
    <w:p>
      <w:pPr>
        <w:pStyle w:val="Heading2"/>
        <w:spacing w:after="160" w:before="360"/>
      </w:pPr>
      <w:r>
        <w:rPr>
          <w:rFonts w:ascii="Arial" w:cs="Arial" w:eastAsia="Arial" w:hAnsi="Arial"/>
          <w:b/>
          <w:bCs/>
          <w:color w:val="1F4E78"/>
          <w:sz w:val="28"/>
          <w:szCs w:val="28"/>
        </w:rPr>
        <w:t xml:space="preserve">Universal Service Fund Reform</w:t>
      </w:r>
    </w:p>
    <w:p>
      <w:pPr>
        <w:spacing w:after="200" w:line="320"/>
        <w:jc w:val="both"/>
      </w:pPr>
      <w:r>
        <w:rPr>
          <w:rFonts w:ascii="Georgia" w:cs="Georgia" w:eastAsia="Georgia" w:hAnsi="Georgia"/>
          <w:color w:val="1A1A1A"/>
          <w:sz w:val="22"/>
          <w:szCs w:val="22"/>
        </w:rPr>
        <w:t>The existing Universal Service Fund (USF) provides approximately $8 billion per year for rural high-cost areas, schools and libraries (E-rate program), low-income access (Lifeline), and rural healthcare. v2.26 update: Path B replaces USF rather than integrating with it. The Federal Infrastructure Fee architecture consolidates USF into a single federal mechanism for cost recovery on federally-owned broadband and cellular infrastructure. The reforms originally identified in this section remain conceptually valid for the transition period but the long-run state under Path B is USF replacement rather than reform. Reforms required:</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8F4E8"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USF reforms required</w:t>
            </w:r>
          </w:p>
          <w:p>
            <w:pPr>
              <w:spacing w:after="100" w:line="280"/>
            </w:pPr>
            <w:r>
              <w:rPr>
                <w:rFonts w:ascii="Georgia" w:cs="Georgia" w:eastAsia="Georgia" w:hAnsi="Georgia"/>
                <w:color w:val="1A1A1A"/>
                <w:sz w:val="21"/>
                <w:szCs w:val="21"/>
              </w:rPr>
              <w:t xml:space="preserve">•  Funding mechanism modernization: USF currently funded by long-distance telephone surcharges, a declining revenue source. Path A integrates USF funding with broader federal infrastructure spending, eliminating the dependency on telephone-era revenue mechanisms.</w:t>
            </w:r>
          </w:p>
          <w:p>
            <w:pPr>
              <w:spacing w:after="100" w:line="280"/>
            </w:pPr>
            <w:r>
              <w:rPr>
                <w:rFonts w:ascii="Georgia" w:cs="Georgia" w:eastAsia="Georgia" w:hAnsi="Georgia"/>
                <w:color w:val="1A1A1A"/>
                <w:sz w:val="21"/>
                <w:szCs w:val="21"/>
              </w:rPr>
              <w:t xml:space="preserve">•  Program consolidation: USF's four sub-programs (high-cost, E-rate, Lifeline, rural healthcare) consolidate operationally with Path A's universal broadband contracting structure. Same provider qualifications, same quality standards, same workforce participation requirements.</w:t>
            </w:r>
          </w:p>
          <w:p>
            <w:pPr>
              <w:spacing w:after="100" w:line="280"/>
            </w:pPr>
            <w:r>
              <w:rPr>
                <w:rFonts w:ascii="Georgia" w:cs="Georgia" w:eastAsia="Georgia" w:hAnsi="Georgia"/>
                <w:color w:val="1A1A1A"/>
                <w:sz w:val="21"/>
                <w:szCs w:val="21"/>
              </w:rPr>
              <w:t xml:space="preserve">•  Lifeline transition: with Path A's universal free broadband, the Lifeline program's voice service component continues for households needing telephone service; the broadband subsidy component becomes redundant and is wound down over 3-5 years.</w:t>
            </w:r>
          </w:p>
          <w:p>
            <w:pPr>
              <w:spacing w:after="100" w:line="280"/>
            </w:pPr>
            <w:r>
              <w:rPr>
                <w:rFonts w:ascii="Georgia" w:cs="Georgia" w:eastAsia="Georgia" w:hAnsi="Georgia"/>
                <w:color w:val="1A1A1A"/>
                <w:sz w:val="21"/>
                <w:szCs w:val="21"/>
              </w:rPr>
              <w:t xml:space="preserve">•  E-rate integration: schools and libraries receive Path A universal service like any household, with E-rate continuing to fund equipment, networking, and specialized capacity at schools and libraries above the universal standard.</w:t>
            </w:r>
          </w:p>
        </w:tc>
      </w:tr>
    </w:tbl>
    <w:p>
      <w:pPr>
        <w:spacing w:after="200" w:line="320"/>
        <w:jc w:val="both"/>
      </w:pPr>
      <w:r>
        <w:rPr>
          <w:rFonts w:ascii="Georgia" w:cs="Georgia" w:eastAsia="Georgia" w:hAnsi="Georgia"/>
          <w:color w:val="1A1A1A"/>
          <w:sz w:val="22"/>
          <w:szCs w:val="22"/>
        </w:rPr>
        <w:t xml:space="preserve">USF reforms require congressional action to modernize the funding mechanism. The platform's commitment is to integrate USF into the broader Civic Infrastructure pillar architecture rather than maintaining USF as a separate fragmented program.</w:t>
      </w:r>
    </w:p>
    <w:p>
      <w:pPr>
        <w:pStyle w:val="Heading2"/>
        <w:spacing w:after="160" w:before="360"/>
      </w:pPr>
      <w:r>
        <w:rPr>
          <w:rFonts w:ascii="Arial" w:cs="Arial" w:eastAsia="Arial" w:hAnsi="Arial"/>
          <w:b/>
          <w:bCs/>
          <w:color w:val="1F4E78"/>
          <w:sz w:val="28"/>
          <w:szCs w:val="28"/>
        </w:rPr>
        <w:t xml:space="preserve">BEAD Program Integration</w:t>
      </w:r>
    </w:p>
    <w:p>
      <w:pPr>
        <w:spacing w:after="200" w:line="320"/>
        <w:jc w:val="both"/>
      </w:pPr>
      <w:r>
        <w:rPr>
          <w:rFonts w:ascii="Georgia" w:cs="Georgia" w:eastAsia="Georgia" w:hAnsi="Georgia"/>
          <w:color w:val="1A1A1A"/>
          <w:sz w:val="22"/>
          <w:szCs w:val="22"/>
        </w:rPr>
        <w:t xml:space="preserve">The Broadband Equity, Access, and Deployment program (BEAD, established by 2021 Infrastructure Investment and Jobs Act) is currently the largest active federal broadband investment at $42.5 billion total. Path A integrates BEAD rather than replacing it:</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8F4E8"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BEAD integration mechanics</w:t>
            </w:r>
          </w:p>
          <w:p>
            <w:pPr>
              <w:spacing w:after="100" w:line="280"/>
            </w:pPr>
            <w:r>
              <w:rPr>
                <w:rFonts w:ascii="Georgia" w:cs="Georgia" w:eastAsia="Georgia" w:hAnsi="Georgia"/>
                <w:color w:val="1A1A1A"/>
                <w:sz w:val="21"/>
                <w:szCs w:val="21"/>
              </w:rPr>
              <w:t xml:space="preserve">•  BEAD funding flows through state broadband offices to deployment projects. Path A's federal contracting structure works with state broadband offices rather than around them.</w:t>
            </w:r>
          </w:p>
          <w:p>
            <w:pPr>
              <w:spacing w:after="100" w:line="280"/>
            </w:pPr>
            <w:r>
              <w:rPr>
                <w:rFonts w:ascii="Georgia" w:cs="Georgia" w:eastAsia="Georgia" w:hAnsi="Georgia"/>
                <w:color w:val="1A1A1A"/>
                <w:sz w:val="21"/>
                <w:szCs w:val="21"/>
              </w:rPr>
              <w:t xml:space="preserve">•  BEAD's existing rural deployment grants continue, with quality standards aligned to Path A universal service standards.</w:t>
            </w:r>
          </w:p>
          <w:p>
            <w:pPr>
              <w:spacing w:after="100" w:line="280"/>
            </w:pPr>
            <w:r>
              <w:rPr>
                <w:rFonts w:ascii="Georgia" w:cs="Georgia" w:eastAsia="Georgia" w:hAnsi="Georgia"/>
                <w:color w:val="1A1A1A"/>
                <w:sz w:val="21"/>
                <w:szCs w:val="21"/>
              </w:rPr>
              <w:t xml:space="preserve">•  BEAD-funded deployments transition to Path A federal wholesale contracts upon deployment completion: providers receive grant funding for capital expense, then operating revenue from Path A federal contracts.</w:t>
            </w:r>
          </w:p>
          <w:p>
            <w:pPr>
              <w:spacing w:after="100" w:line="280"/>
            </w:pPr>
            <w:r>
              <w:rPr>
                <w:rFonts w:ascii="Georgia" w:cs="Georgia" w:eastAsia="Georgia" w:hAnsi="Georgia"/>
                <w:color w:val="1A1A1A"/>
                <w:sz w:val="21"/>
                <w:szCs w:val="21"/>
              </w:rPr>
              <w:t xml:space="preserve">•  Existing BEAD project pipeline accelerates rather than restarts: Path A leverages BEAD investment rather than replacing it.</w:t>
            </w:r>
          </w:p>
          <w:p>
            <w:pPr>
              <w:spacing w:after="100" w:line="280"/>
            </w:pPr>
            <w:r>
              <w:rPr>
                <w:rFonts w:ascii="Georgia" w:cs="Georgia" w:eastAsia="Georgia" w:hAnsi="Georgia"/>
                <w:color w:val="1A1A1A"/>
                <w:sz w:val="21"/>
                <w:szCs w:val="21"/>
              </w:rPr>
              <w:t xml:space="preserve">•  Workforce coordination: BEAD's existing workforce requirements (apprenticeship standards, prevailing wages) align with Path A's workforce expansion architecture.</w:t>
            </w:r>
          </w:p>
        </w:tc>
      </w:tr>
    </w:tbl>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 xml:space="preserve">“Path A leverages existing federal broadband investment rather than replacing it. BEAD's rural deployment pipeline accelerates rather than restarts. USF integrates rather than continuing as a separate fragmented program.”</w:t>
            </w:r>
          </w:p>
        </w:tc>
      </w:tr>
    </w:tbl>
    <w:p>
      <w:r>
        <w:br w:type="page"/>
      </w:r>
    </w:p>
    <w:p>
      <w:pPr>
        <w:pStyle w:val="Heading1"/>
        <w:spacing w:after="240" w:before="480"/>
      </w:pPr>
      <w:r>
        <w:rPr>
          <w:rFonts w:ascii="Arial" w:cs="Arial" w:eastAsia="Arial" w:hAnsi="Arial"/>
          <w:b/>
          <w:bCs/>
          <w:color w:val="1F4E78"/>
          <w:sz w:val="36"/>
          <w:szCs w:val="36"/>
        </w:rPr>
        <w:t xml:space="preserve">Buildout Timeline and Cost Trajectory</w:t>
      </w:r>
    </w:p>
    <w:p>
      <w:pPr>
        <w:spacing w:after="240" w:line="340"/>
        <w:jc w:val="both"/>
      </w:pPr>
      <w:r>
        <w:rPr>
          <w:rFonts w:ascii="Georgia" w:cs="Georgia" w:eastAsia="Georgia" w:hAnsi="Georgia"/>
          <w:color w:val="1A1A1A"/>
          <w:sz w:val="24"/>
          <w:szCs w:val="24"/>
        </w:rPr>
        <w:t xml:space="preserve">Path A's commitment is to universal coverage by Year 7. This section specifies the year-by-year deployment timeline, cost trajectory, and milestones that demonstrate the commitment is on track.</w:t>
      </w:r>
    </w:p>
    <w:p>
      <w:pPr>
        <w:pStyle w:val="Heading2"/>
        <w:spacing w:after="160" w:before="360"/>
      </w:pPr>
      <w:r>
        <w:rPr>
          <w:rFonts w:ascii="Arial" w:cs="Arial" w:eastAsia="Arial" w:hAnsi="Arial"/>
          <w:b/>
          <w:bCs/>
          <w:color w:val="1F4E78"/>
          <w:sz w:val="28"/>
          <w:szCs w:val="28"/>
        </w:rPr>
        <w:t xml:space="preserve">Year-by-Year Deployment Schedule</w:t>
      </w:r>
    </w:p>
    <w:p>
      <w:pPr>
        <w:spacing w:after="12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gridCol w:w="100"/>
        <w:gridCol w:w="100"/>
        <w:gridCol w:w="100"/>
      </w:tblGrid>
      <w:tr>
        <w:tc>
          <w:tcPr>
            <w:tcW w:type="dxa" w:w="13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Year</w:t>
            </w:r>
          </w:p>
        </w:tc>
        <w:tc>
          <w:tcPr>
            <w:tcW w:type="dxa" w:w="17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Cumulative Coverage</w:t>
            </w:r>
          </w:p>
        </w:tc>
        <w:tc>
          <w:tcPr>
            <w:tcW w:type="dxa" w:w="17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Households Served</w:t>
            </w:r>
          </w:p>
        </w:tc>
        <w:tc>
          <w:tcPr>
            <w:tcW w:type="dxa" w:w="22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Annual Federal Cost</w:t>
            </w:r>
          </w:p>
        </w:tc>
        <w:tc>
          <w:tcPr>
            <w:tcW w:type="dxa" w:w="21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Cumulative ($B)</w:t>
            </w:r>
          </w:p>
        </w:tc>
      </w:tr>
      <w:tr>
        <w:tc>
          <w:tcPr>
            <w:tcW w:type="dxa" w:w="13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1 (2026)</w:t>
            </w:r>
          </w:p>
        </w:tc>
        <w:tc>
          <w:tcPr>
            <w:tcW w:type="dxa" w:w="17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55%</w:t>
            </w:r>
          </w:p>
        </w:tc>
        <w:tc>
          <w:tcPr>
            <w:tcW w:type="dxa" w:w="17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72.6M</w:t>
            </w:r>
          </w:p>
        </w:tc>
        <w:tc>
          <w:tcPr>
            <w:tcW w:type="dxa" w:w="22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$13B (half-year start)</w:t>
            </w:r>
          </w:p>
        </w:tc>
        <w:tc>
          <w:tcPr>
            <w:tcW w:type="dxa" w:w="21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$13B</w:t>
            </w:r>
          </w:p>
        </w:tc>
      </w:tr>
      <w:tr>
        <w:tc>
          <w:tcPr>
            <w:tcW w:type="dxa" w:w="13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2 (2027)</w:t>
            </w:r>
          </w:p>
        </w:tc>
        <w:tc>
          <w:tcPr>
            <w:tcW w:type="dxa" w:w="17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65%</w:t>
            </w:r>
          </w:p>
        </w:tc>
        <w:tc>
          <w:tcPr>
            <w:tcW w:type="dxa" w:w="17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85.8M</w:t>
            </w:r>
          </w:p>
        </w:tc>
        <w:tc>
          <w:tcPr>
            <w:tcW w:type="dxa" w:w="22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$31B</w:t>
            </w:r>
          </w:p>
        </w:tc>
        <w:tc>
          <w:tcPr>
            <w:tcW w:type="dxa" w:w="21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$44B</w:t>
            </w:r>
          </w:p>
        </w:tc>
      </w:tr>
      <w:tr>
        <w:tc>
          <w:tcPr>
            <w:tcW w:type="dxa" w:w="13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3 (2028)</w:t>
            </w:r>
          </w:p>
        </w:tc>
        <w:tc>
          <w:tcPr>
            <w:tcW w:type="dxa" w:w="17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75%</w:t>
            </w:r>
          </w:p>
        </w:tc>
        <w:tc>
          <w:tcPr>
            <w:tcW w:type="dxa" w:w="17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99.0M</w:t>
            </w:r>
          </w:p>
        </w:tc>
        <w:tc>
          <w:tcPr>
            <w:tcW w:type="dxa" w:w="22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$36B</w:t>
            </w:r>
          </w:p>
        </w:tc>
        <w:tc>
          <w:tcPr>
            <w:tcW w:type="dxa" w:w="21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$80B</w:t>
            </w:r>
          </w:p>
        </w:tc>
      </w:tr>
      <w:tr>
        <w:tc>
          <w:tcPr>
            <w:tcW w:type="dxa" w:w="13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4 (2029)</w:t>
            </w:r>
          </w:p>
        </w:tc>
        <w:tc>
          <w:tcPr>
            <w:tcW w:type="dxa" w:w="17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85%</w:t>
            </w:r>
          </w:p>
        </w:tc>
        <w:tc>
          <w:tcPr>
            <w:tcW w:type="dxa" w:w="17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112.2M</w:t>
            </w:r>
          </w:p>
        </w:tc>
        <w:tc>
          <w:tcPr>
            <w:tcW w:type="dxa" w:w="22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$40B</w:t>
            </w:r>
          </w:p>
        </w:tc>
        <w:tc>
          <w:tcPr>
            <w:tcW w:type="dxa" w:w="21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$120B</w:t>
            </w:r>
          </w:p>
        </w:tc>
      </w:tr>
      <w:tr>
        <w:tc>
          <w:tcPr>
            <w:tcW w:type="dxa" w:w="13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5 (2030)</w:t>
            </w:r>
          </w:p>
        </w:tc>
        <w:tc>
          <w:tcPr>
            <w:tcW w:type="dxa" w:w="17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92%</w:t>
            </w:r>
          </w:p>
        </w:tc>
        <w:tc>
          <w:tcPr>
            <w:tcW w:type="dxa" w:w="17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121.4M</w:t>
            </w:r>
          </w:p>
        </w:tc>
        <w:tc>
          <w:tcPr>
            <w:tcW w:type="dxa" w:w="22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$44B</w:t>
            </w:r>
          </w:p>
        </w:tc>
        <w:tc>
          <w:tcPr>
            <w:tcW w:type="dxa" w:w="21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$164B</w:t>
            </w:r>
          </w:p>
        </w:tc>
      </w:tr>
      <w:tr>
        <w:tc>
          <w:tcPr>
            <w:tcW w:type="dxa" w:w="13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6 (2031)</w:t>
            </w:r>
          </w:p>
        </w:tc>
        <w:tc>
          <w:tcPr>
            <w:tcW w:type="dxa" w:w="17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97%</w:t>
            </w:r>
          </w:p>
        </w:tc>
        <w:tc>
          <w:tcPr>
            <w:tcW w:type="dxa" w:w="17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128.0M</w:t>
            </w:r>
          </w:p>
        </w:tc>
        <w:tc>
          <w:tcPr>
            <w:tcW w:type="dxa" w:w="22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$46B</w:t>
            </w:r>
          </w:p>
        </w:tc>
        <w:tc>
          <w:tcPr>
            <w:tcW w:type="dxa" w:w="21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$210B</w:t>
            </w:r>
          </w:p>
        </w:tc>
      </w:tr>
      <w:tr>
        <w:tc>
          <w:tcPr>
            <w:tcW w:type="dxa" w:w="13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7 (2032)</w:t>
            </w:r>
          </w:p>
        </w:tc>
        <w:tc>
          <w:tcPr>
            <w:tcW w:type="dxa" w:w="17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100%</w:t>
            </w:r>
          </w:p>
        </w:tc>
        <w:tc>
          <w:tcPr>
            <w:tcW w:type="dxa" w:w="17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132.0M</w:t>
            </w:r>
          </w:p>
        </w:tc>
        <w:tc>
          <w:tcPr>
            <w:tcW w:type="dxa" w:w="22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$48B</w:t>
            </w:r>
          </w:p>
        </w:tc>
        <w:tc>
          <w:tcPr>
            <w:tcW w:type="dxa" w:w="21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$258B</w:t>
            </w:r>
          </w:p>
        </w:tc>
      </w:tr>
      <w:tr>
        <w:tc>
          <w:tcPr>
            <w:tcW w:type="dxa" w:w="13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8+ (2033+)</w:t>
            </w:r>
          </w:p>
        </w:tc>
        <w:tc>
          <w:tcPr>
            <w:tcW w:type="dxa" w:w="17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100%</w:t>
            </w:r>
          </w:p>
        </w:tc>
        <w:tc>
          <w:tcPr>
            <w:tcW w:type="dxa" w:w="17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132.0M</w:t>
            </w:r>
          </w:p>
        </w:tc>
        <w:tc>
          <w:tcPr>
            <w:tcW w:type="dxa" w:w="22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$48-50B annual</w:t>
            </w:r>
          </w:p>
        </w:tc>
        <w:tc>
          <w:tcPr>
            <w:tcW w:type="dxa" w:w="21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+$48-50B/yr</w:t>
            </w:r>
          </w:p>
        </w:tc>
      </w:tr>
    </w:tbl>
    <w:p>
      <w:pPr>
        <w:spacing w:after="240"/>
      </w:pPr>
      <w:r>
        <w:t xml:space="preserve"/>
      </w:r>
    </w:p>
    <w:p>
      <w:pPr>
        <w:spacing w:after="200" w:line="320"/>
        <w:jc w:val="both"/>
      </w:pPr>
      <w:r>
        <w:rPr>
          <w:rFonts w:ascii="Georgia" w:cs="Georgia" w:eastAsia="Georgia" w:hAnsi="Georgia"/>
          <w:color w:val="1A1A1A"/>
          <w:sz w:val="22"/>
          <w:szCs w:val="22"/>
        </w:rPr>
        <w:t xml:space="preserve">Year 1 (2026) launches federal contracting authority and begins paying providers for service in already-deployed areas (covering approximately 55% of households where universal-grade service already exists). Year 7 (2032) achieves 100% coverage. Cumulative federal spending through Year 7: approximately $258 billion. Steady-state operations from Year 8+: approximately $48-50 billion annually.</w:t>
      </w:r>
    </w:p>
    <w:p>
      <w:pPr>
        <w:pStyle w:val="Heading2"/>
        <w:spacing w:after="160" w:before="360"/>
      </w:pPr>
      <w:r>
        <w:rPr>
          <w:rFonts w:ascii="Arial" w:cs="Arial" w:eastAsia="Arial" w:hAnsi="Arial"/>
          <w:b/>
          <w:bCs/>
          <w:color w:val="1F4E78"/>
          <w:sz w:val="28"/>
          <w:szCs w:val="28"/>
        </w:rPr>
        <w:t xml:space="preserve">Phase Milestones</w:t>
      </w:r>
    </w:p>
    <w:p>
      <w:pPr>
        <w:spacing w:after="200" w:line="320"/>
        <w:jc w:val="both"/>
      </w:pPr>
      <w:r>
        <w:rPr>
          <w:rFonts w:ascii="Georgia" w:cs="Georgia" w:eastAsia="Georgia" w:hAnsi="Georgia"/>
          <w:color w:val="1A1A1A"/>
          <w:sz w:val="22"/>
          <w:szCs w:val="22"/>
        </w:rPr>
        <w:t xml:space="preserve">The 7-year deployment isn't continuous, undifferentiated growth. Specific milestones mark deployment progress:</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EAF2EE"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Year-by-year milestones</w:t>
            </w:r>
          </w:p>
          <w:p>
            <w:pPr>
              <w:spacing w:after="100" w:line="280"/>
            </w:pPr>
            <w:r>
              <w:rPr>
                <w:rFonts w:ascii="Georgia" w:cs="Georgia" w:eastAsia="Georgia" w:hAnsi="Georgia"/>
                <w:color w:val="1A1A1A"/>
                <w:sz w:val="21"/>
                <w:szCs w:val="21"/>
              </w:rPr>
              <w:t xml:space="preserve">•  Year 1: Federal Universal Broadband Service Office established and operational. Initial contracts awarded for 55% of households (already-deployed areas). FCC mapping reform and pole attachment reform legislation passed. Workforce expansion programs initiated. Service standards finalized.</w:t>
            </w:r>
          </w:p>
          <w:p>
            <w:pPr>
              <w:spacing w:after="100" w:line="280"/>
            </w:pPr>
            <w:r>
              <w:rPr>
                <w:rFonts w:ascii="Georgia" w:cs="Georgia" w:eastAsia="Georgia" w:hAnsi="Georgia"/>
                <w:color w:val="1A1A1A"/>
                <w:sz w:val="21"/>
                <w:szCs w:val="21"/>
              </w:rPr>
              <w:t xml:space="preserve">•  Year 2: Cooperative deployment contracts awarded for next 10% of households (rural electric cooperative areas). FWA tower deployment begins for medium-density rural. LEO satellite service contracts negotiated for frontier coverage.</w:t>
            </w:r>
          </w:p>
          <w:p>
            <w:pPr>
              <w:spacing w:after="100" w:line="280"/>
            </w:pPr>
            <w:r>
              <w:rPr>
                <w:rFonts w:ascii="Georgia" w:cs="Georgia" w:eastAsia="Georgia" w:hAnsi="Georgia"/>
                <w:color w:val="1A1A1A"/>
                <w:sz w:val="21"/>
                <w:szCs w:val="21"/>
              </w:rPr>
              <w:t xml:space="preserve">•  Year 3: Rural cooperative deployments completing for 25% of households cumulative. FWA deployments expanding. First quality monitoring reports published with aggregate provider performance.</w:t>
            </w:r>
          </w:p>
          <w:p>
            <w:pPr>
              <w:spacing w:after="100" w:line="280"/>
            </w:pPr>
            <w:r>
              <w:rPr>
                <w:rFonts w:ascii="Georgia" w:cs="Georgia" w:eastAsia="Georgia" w:hAnsi="Georgia"/>
                <w:color w:val="1A1A1A"/>
                <w:sz w:val="21"/>
                <w:szCs w:val="21"/>
              </w:rPr>
              <w:t xml:space="preserve">•  Year 4: 85% coverage achieved. Rural deployment workforce at full capacity. FWA tower buildout completing. Cooperative and municipal sector substantially expanded vs Year 1 baseline.</w:t>
            </w:r>
          </w:p>
          <w:p>
            <w:pPr>
              <w:spacing w:after="100" w:line="280"/>
            </w:pPr>
            <w:r>
              <w:rPr>
                <w:rFonts w:ascii="Georgia" w:cs="Georgia" w:eastAsia="Georgia" w:hAnsi="Georgia"/>
                <w:color w:val="1A1A1A"/>
                <w:sz w:val="21"/>
                <w:szCs w:val="21"/>
              </w:rPr>
              <w:t xml:space="preserve">•  Year 5: Peak deployment year. 92% coverage. FWA fully deployed. LEO satellite operational for frontier. Workforce capacity at peak ~165K workers.</w:t>
            </w:r>
          </w:p>
          <w:p>
            <w:pPr>
              <w:spacing w:after="100" w:line="280"/>
            </w:pPr>
            <w:r>
              <w:rPr>
                <w:rFonts w:ascii="Georgia" w:cs="Georgia" w:eastAsia="Georgia" w:hAnsi="Georgia"/>
                <w:color w:val="1A1A1A"/>
                <w:sz w:val="21"/>
                <w:szCs w:val="21"/>
              </w:rPr>
              <w:t xml:space="preserve">•  Year 6: 97% coverage. Frontier and remaining gaps closing. Workforce beginning transition from deployment to maintenance posture.</w:t>
            </w:r>
          </w:p>
          <w:p>
            <w:pPr>
              <w:spacing w:after="100" w:line="280"/>
            </w:pPr>
            <w:r>
              <w:rPr>
                <w:rFonts w:ascii="Georgia" w:cs="Georgia" w:eastAsia="Georgia" w:hAnsi="Georgia"/>
                <w:color w:val="1A1A1A"/>
                <w:sz w:val="21"/>
                <w:szCs w:val="21"/>
              </w:rPr>
              <w:t xml:space="preserve">•  Year 7: 100% coverage achieved. Universal service standards met everywhere. Workforce stabilized at ~110K maintenance posture. Annual federal cost stabilized at ~$48B.</w:t>
            </w:r>
          </w:p>
          <w:p>
            <w:pPr>
              <w:spacing w:after="100" w:line="280"/>
            </w:pPr>
            <w:r>
              <w:rPr>
                <w:rFonts w:ascii="Georgia" w:cs="Georgia" w:eastAsia="Georgia" w:hAnsi="Georgia"/>
                <w:color w:val="1A1A1A"/>
                <w:sz w:val="21"/>
                <w:szCs w:val="21"/>
              </w:rPr>
              <w:t xml:space="preserve">•  Years 8+: Steady state operations. Annual maintenance, equipment replacement, network upgrades to keep pace with service standard evolution. Workforce continues at ~110K with periodic upgrade campaigns when service standards increase.</w:t>
            </w:r>
          </w:p>
        </w:tc>
      </w:tr>
    </w:tbl>
    <w:p>
      <w:pPr>
        <w:pStyle w:val="Heading2"/>
        <w:spacing w:after="160" w:before="360"/>
      </w:pPr>
      <w:r>
        <w:rPr>
          <w:rFonts w:ascii="Arial" w:cs="Arial" w:eastAsia="Arial" w:hAnsi="Arial"/>
          <w:b/>
          <w:bCs/>
          <w:color w:val="1F4E78"/>
          <w:sz w:val="28"/>
          <w:szCs w:val="28"/>
        </w:rPr>
        <w:t xml:space="preserve">Cost Trajectory and Funding Sources</w:t>
      </w:r>
    </w:p>
    <w:p>
      <w:pPr>
        <w:spacing w:after="200" w:line="320"/>
        <w:jc w:val="both"/>
      </w:pPr>
      <w:r>
        <w:rPr>
          <w:rFonts w:ascii="Georgia" w:cs="Georgia" w:eastAsia="Georgia" w:hAnsi="Georgia"/>
          <w:color w:val="1A1A1A"/>
          <w:sz w:val="22"/>
          <w:szCs w:val="22"/>
        </w:rPr>
        <w:t>v2.26 update: This section describes Path A's cost trajectory; under Path B, the cost architecture changes from perpetual subsidy of approximately forty-eight billion dollars per year to capital deployment of approximately two hundred seventy billion dollars over seven years plus annual operations and maintenance of approximately thirteen and one-half billion dollars plus future capacity reserve of approximately six and three-quarters billion dollars, net of infrastructure fee revenue from companies of approximately thirty-four billion dollars per year. Path B's federal NET cost over thirty years is approximately one hundred thirty billion dollars compared to Path A's approximately two trillion dollars. Path A's cost trajectory aligns with the platform's broader funding architecture. During Phase 1 (Years 1-5), the Sovereign Fund hasn't reached full disbursement scale; broadband funding relies more heavily on consolidated existing federal spending plus modest new federal investment. From Year 12+ when Sovereign Fund disbursements reach full scale, Path A is funded primarily by Sovereign Fund disbursements within the Civic Infrastructure pillar's allocation.</w:t>
      </w:r>
    </w:p>
    <w:p>
      <w:pPr>
        <w:spacing w:after="12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gridCol w:w="100"/>
        <w:gridCol w:w="100"/>
        <w:gridCol w:w="100"/>
      </w:tblGrid>
      <w:tr>
        <w:tc>
          <w:tcPr>
            <w:tcW w:type="dxa" w:w="30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Funding Source</w:t>
            </w:r>
          </w:p>
        </w:tc>
        <w:tc>
          <w:tcPr>
            <w:tcW w:type="dxa" w:w="15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Years 1-5</w:t>
            </w:r>
          </w:p>
        </w:tc>
        <w:tc>
          <w:tcPr>
            <w:tcW w:type="dxa" w:w="15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Years 6-12</w:t>
            </w:r>
          </w:p>
        </w:tc>
        <w:tc>
          <w:tcPr>
            <w:tcW w:type="dxa" w:w="15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Years 13-30</w:t>
            </w:r>
          </w:p>
        </w:tc>
        <w:tc>
          <w:tcPr>
            <w:tcW w:type="dxa" w:w="15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Notes</w:t>
            </w:r>
          </w:p>
        </w:tc>
      </w:tr>
      <w:tr>
        <w:tc>
          <w:tcPr>
            <w:tcW w:type="dxa" w:w="30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Existing federal broadband (BEAD, USF, etc.)</w:t>
            </w:r>
          </w:p>
        </w:tc>
        <w:tc>
          <w:tcPr>
            <w:tcW w:type="dxa" w:w="1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60%</w:t>
            </w:r>
          </w:p>
        </w:tc>
        <w:tc>
          <w:tcPr>
            <w:tcW w:type="dxa" w:w="1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40%</w:t>
            </w:r>
          </w:p>
        </w:tc>
        <w:tc>
          <w:tcPr>
            <w:tcW w:type="dxa" w:w="1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20%</w:t>
            </w:r>
          </w:p>
        </w:tc>
        <w:tc>
          <w:tcPr>
            <w:tcW w:type="dxa" w:w="1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Existing programs integrated</w:t>
            </w:r>
          </w:p>
        </w:tc>
      </w:tr>
      <w:tr>
        <w:tc>
          <w:tcPr>
            <w:tcW w:type="dxa" w:w="30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New federal investment (transition)</w:t>
            </w:r>
          </w:p>
        </w:tc>
        <w:tc>
          <w:tcPr>
            <w:tcW w:type="dxa" w:w="1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30%</w:t>
            </w:r>
          </w:p>
        </w:tc>
        <w:tc>
          <w:tcPr>
            <w:tcW w:type="dxa" w:w="1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20%</w:t>
            </w:r>
          </w:p>
        </w:tc>
        <w:tc>
          <w:tcPr>
            <w:tcW w:type="dxa" w:w="1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0%</w:t>
            </w:r>
          </w:p>
        </w:tc>
        <w:tc>
          <w:tcPr>
            <w:tcW w:type="dxa" w:w="1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Bridge before Sovereign Fund scale</w:t>
            </w:r>
          </w:p>
        </w:tc>
      </w:tr>
      <w:tr>
        <w:tc>
          <w:tcPr>
            <w:tcW w:type="dxa" w:w="30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Sovereign Fund disbursements</w:t>
            </w:r>
          </w:p>
        </w:tc>
        <w:tc>
          <w:tcPr>
            <w:tcW w:type="dxa" w:w="1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0%</w:t>
            </w:r>
          </w:p>
        </w:tc>
        <w:tc>
          <w:tcPr>
            <w:tcW w:type="dxa" w:w="1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30%</w:t>
            </w:r>
          </w:p>
        </w:tc>
        <w:tc>
          <w:tcPr>
            <w:tcW w:type="dxa" w:w="1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65%</w:t>
            </w:r>
          </w:p>
        </w:tc>
        <w:tc>
          <w:tcPr>
            <w:tcW w:type="dxa" w:w="1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Primary source after Year 12</w:t>
            </w:r>
          </w:p>
        </w:tc>
      </w:tr>
      <w:tr>
        <w:tc>
          <w:tcPr>
            <w:tcW w:type="dxa" w:w="30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State and local cost share</w:t>
            </w:r>
          </w:p>
        </w:tc>
        <w:tc>
          <w:tcPr>
            <w:tcW w:type="dxa" w:w="1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10%</w:t>
            </w:r>
          </w:p>
        </w:tc>
        <w:tc>
          <w:tcPr>
            <w:tcW w:type="dxa" w:w="1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10%</w:t>
            </w:r>
          </w:p>
        </w:tc>
        <w:tc>
          <w:tcPr>
            <w:tcW w:type="dxa" w:w="1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15%</w:t>
            </w:r>
          </w:p>
        </w:tc>
        <w:tc>
          <w:tcPr>
            <w:tcW w:type="dxa" w:w="1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Right-of-way, permitting support</w:t>
            </w:r>
          </w:p>
        </w:tc>
      </w:tr>
    </w:tbl>
    <w:p>
      <w:pPr>
        <w:spacing w:after="240"/>
      </w:pPr>
      <w:r>
        <w:t xml:space="preserve"/>
      </w:r>
    </w:p>
    <w:p>
      <w:pPr>
        <w:spacing w:after="200" w:line="320"/>
        <w:jc w:val="both"/>
      </w:pPr>
      <w:r>
        <w:rPr>
          <w:rFonts w:ascii="Georgia" w:cs="Georgia" w:eastAsia="Georgia" w:hAnsi="Georgia"/>
          <w:color w:val="1A1A1A"/>
          <w:sz w:val="22"/>
          <w:szCs w:val="22"/>
        </w:rPr>
        <w:t>The funding source mix isn't static; it shifts as the Sovereign Fund accumulates and existing federal programs consolidate. Path A's commitment is sustainable because the Sovereign Fund's eventual disbursement scale provides substantial headroom for Civic Infrastructure including broadband. The transition years (1-12) require coordinated existing federal spending and modest new investment; the steady-state years (13+) rely primarily on Sovereign Fund disbursements.</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 xml:space="preserve">“Cumulative federal spending through Year 7: ~$258B. Steady state from Year 8+: ~$48-50B annually. The 7-year deployment is on a specific timeline with specific milestones; commitment is verifiable, not aspirational.”</w:t>
            </w:r>
          </w:p>
        </w:tc>
      </w:tr>
    </w:tbl>
    <w:p>
      <w:r>
        <w:br w:type="page"/>
      </w:r>
    </w:p>
    <w:p>
      <w:pPr>
        <w:pStyle w:val="Heading1"/>
        <w:spacing w:after="240" w:before="480"/>
      </w:pPr>
      <w:r>
        <w:rPr>
          <w:rFonts w:ascii="Arial" w:cs="Arial" w:eastAsia="Arial" w:hAnsi="Arial"/>
          <w:b/>
          <w:bCs/>
          <w:color w:val="1F4E78"/>
          <w:sz w:val="36"/>
          <w:szCs w:val="36"/>
        </w:rPr>
        <w:t xml:space="preserve">Stress Tests</w:t>
      </w:r>
    </w:p>
    <w:p>
      <w:pPr>
        <w:spacing w:after="240" w:line="340"/>
        <w:jc w:val="both"/>
      </w:pPr>
      <w:r>
        <w:rPr>
          <w:rFonts w:ascii="Georgia" w:cs="Georgia" w:eastAsia="Georgia" w:hAnsi="Georgia"/>
          <w:color w:val="1A1A1A"/>
          <w:sz w:val="24"/>
          <w:szCs w:val="24"/>
        </w:rPr>
        <w:t xml:space="preserve">Path A's commitment must survive adverse scenarios. This section stress-tests the buildout against workforce constraints, cost escalation, deployment delays, regulatory pushback, and combined adverse scenarios. The verdict: Path A remains within the platform's funding envelope and architectural commitments under all stress scenarios, though some stresses extend the buildout timeline.</w:t>
      </w:r>
    </w:p>
    <w:p>
      <w:pPr>
        <w:pStyle w:val="Heading2"/>
        <w:spacing w:after="160" w:before="360"/>
      </w:pPr>
      <w:r>
        <w:rPr>
          <w:rFonts w:ascii="Arial" w:cs="Arial" w:eastAsia="Arial" w:hAnsi="Arial"/>
          <w:b/>
          <w:bCs/>
          <w:color w:val="1F4E78"/>
          <w:sz w:val="28"/>
          <w:szCs w:val="28"/>
        </w:rPr>
        <w:t xml:space="preserve">Stress 1: Workforce Constraint</w:t>
      </w:r>
    </w:p>
    <w:p>
      <w:pPr>
        <w:spacing w:after="200" w:line="320"/>
        <w:jc w:val="both"/>
      </w:pPr>
      <w:r>
        <w:rPr>
          <w:rFonts w:ascii="Georgia" w:cs="Georgia" w:eastAsia="Georgia" w:hAnsi="Georgia"/>
          <w:color w:val="1A1A1A"/>
          <w:sz w:val="22"/>
          <w:szCs w:val="22"/>
        </w:rPr>
        <w:t xml:space="preserve">If fiber installer workforce expansion runs slower than projected (training pipeline scales 50% rather than 100%, attrition higher than expected), workforce becomes the binding constraint on deployment pace.</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8E8E8"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Stress 1 results</w:t>
            </w:r>
          </w:p>
          <w:p>
            <w:pPr>
              <w:spacing w:after="100" w:line="280"/>
            </w:pPr>
            <w:r>
              <w:rPr>
                <w:rFonts w:ascii="Georgia" w:cs="Georgia" w:eastAsia="Georgia" w:hAnsi="Georgia"/>
                <w:color w:val="1A1A1A"/>
                <w:sz w:val="21"/>
                <w:szCs w:val="21"/>
              </w:rPr>
              <w:t xml:space="preserve">•  Workforce capacity Year 5: 130K instead of projected 160K.</w:t>
            </w:r>
          </w:p>
          <w:p>
            <w:pPr>
              <w:spacing w:after="100" w:line="280"/>
            </w:pPr>
            <w:r>
              <w:rPr>
                <w:rFonts w:ascii="Georgia" w:cs="Georgia" w:eastAsia="Georgia" w:hAnsi="Georgia"/>
                <w:color w:val="1A1A1A"/>
                <w:sz w:val="21"/>
                <w:szCs w:val="21"/>
              </w:rPr>
              <w:t xml:space="preserve">•  Deployment pace constrained by workforce: full coverage reached Year 9 instead of Year 7.</w:t>
            </w:r>
          </w:p>
          <w:p>
            <w:pPr>
              <w:spacing w:after="100" w:line="280"/>
            </w:pPr>
            <w:r>
              <w:rPr>
                <w:rFonts w:ascii="Georgia" w:cs="Georgia" w:eastAsia="Georgia" w:hAnsi="Georgia"/>
                <w:color w:val="1A1A1A"/>
                <w:sz w:val="21"/>
                <w:szCs w:val="21"/>
              </w:rPr>
              <w:t xml:space="preserve">•  Annual federal cost trajectory shifts: peak $48B reached Year 9 rather than Year 7.</w:t>
            </w:r>
          </w:p>
          <w:p>
            <w:pPr>
              <w:spacing w:after="100" w:line="280"/>
            </w:pPr>
            <w:r>
              <w:rPr>
                <w:rFonts w:ascii="Georgia" w:cs="Georgia" w:eastAsia="Georgia" w:hAnsi="Georgia"/>
                <w:color w:val="1A1A1A"/>
                <w:sz w:val="21"/>
                <w:szCs w:val="21"/>
              </w:rPr>
              <w:t xml:space="preserve">•  Cumulative cost through Year 7: $200B rather than $258B (lower because deployment is slower).</w:t>
            </w:r>
          </w:p>
          <w:p>
            <w:pPr>
              <w:spacing w:after="100" w:line="280"/>
            </w:pPr>
            <w:r>
              <w:rPr>
                <w:rFonts w:ascii="Georgia" w:cs="Georgia" w:eastAsia="Georgia" w:hAnsi="Georgia"/>
                <w:color w:val="1A1A1A"/>
                <w:sz w:val="21"/>
                <w:szCs w:val="21"/>
              </w:rPr>
              <w:t xml:space="preserve">•  Cumulative cost through Year 10: $370B (vs $354B baseline through Year 10).</w:t>
            </w:r>
          </w:p>
          <w:p>
            <w:pPr>
              <w:spacing w:after="100" w:line="280"/>
            </w:pPr>
            <w:r>
              <w:rPr>
                <w:rFonts w:ascii="Georgia" w:cs="Georgia" w:eastAsia="Georgia" w:hAnsi="Georgia"/>
                <w:color w:val="1A1A1A"/>
                <w:sz w:val="21"/>
                <w:szCs w:val="21"/>
              </w:rPr>
              <w:t xml:space="preserve">•  Coverage outcome: 100% achieved by Year 9; 88% achieved by Year 7 (still substantially better than Path B baseline).</w:t>
            </w:r>
          </w:p>
          <w:p>
            <w:pPr>
              <w:spacing w:after="100" w:line="280"/>
            </w:pPr>
            <w:r>
              <w:rPr>
                <w:rFonts w:ascii="Georgia" w:cs="Georgia" w:eastAsia="Georgia" w:hAnsi="Georgia"/>
                <w:color w:val="1A1A1A"/>
                <w:sz w:val="21"/>
                <w:szCs w:val="21"/>
              </w:rPr>
              <w:t xml:space="preserve">•  Pillar envelope: well within budget (lower annual cost during slow years).</w:t>
            </w:r>
          </w:p>
          <w:p>
            <w:pPr>
              <w:spacing w:after="100" w:line="280"/>
            </w:pPr>
            <w:r>
              <w:rPr>
                <w:rFonts w:ascii="Georgia" w:cs="Georgia" w:eastAsia="Georgia" w:hAnsi="Georgia"/>
                <w:color w:val="1A1A1A"/>
                <w:sz w:val="21"/>
                <w:szCs w:val="21"/>
              </w:rPr>
              <w:t xml:space="preserve">•  VERDICT: Workforce constraint extends timeline but doesn't compromise coverage outcome. Path A remains operational; deployment just takes 2 additional years.</w:t>
            </w:r>
          </w:p>
        </w:tc>
      </w:tr>
    </w:tbl>
    <w:p>
      <w:pPr>
        <w:pStyle w:val="Heading2"/>
        <w:spacing w:after="160" w:before="360"/>
      </w:pPr>
      <w:r>
        <w:rPr>
          <w:rFonts w:ascii="Arial" w:cs="Arial" w:eastAsia="Arial" w:hAnsi="Arial"/>
          <w:b/>
          <w:bCs/>
          <w:color w:val="1F4E78"/>
          <w:sz w:val="28"/>
          <w:szCs w:val="28"/>
        </w:rPr>
        <w:t xml:space="preserve">Stress 2: Cost Escalation</w:t>
      </w:r>
    </w:p>
    <w:p>
      <w:pPr>
        <w:spacing w:after="200" w:line="320"/>
        <w:jc w:val="both"/>
      </w:pPr>
      <w:r>
        <w:rPr>
          <w:rFonts w:ascii="Georgia" w:cs="Georgia" w:eastAsia="Georgia" w:hAnsi="Georgia"/>
          <w:color w:val="1A1A1A"/>
          <w:sz w:val="22"/>
          <w:szCs w:val="22"/>
        </w:rPr>
        <w:t xml:space="preserve">If wholesale provision cost runs 50% higher than mid estimates (incumbent telecoms dominate provider mix more than expected, deployment proves more expensive in rural areas):</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8E8E8"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Stress 2 results</w:t>
            </w:r>
          </w:p>
          <w:p>
            <w:pPr>
              <w:spacing w:after="100" w:line="280"/>
            </w:pPr>
            <w:r>
              <w:rPr>
                <w:rFonts w:ascii="Georgia" w:cs="Georgia" w:eastAsia="Georgia" w:hAnsi="Georgia"/>
                <w:color w:val="1A1A1A"/>
                <w:sz w:val="21"/>
                <w:szCs w:val="21"/>
              </w:rPr>
              <w:t xml:space="preserve">•  Wholesale cost per connection: $48-50/mo instead of $33/mo.</w:t>
            </w:r>
          </w:p>
          <w:p>
            <w:pPr>
              <w:spacing w:after="100" w:line="280"/>
            </w:pPr>
            <w:r>
              <w:rPr>
                <w:rFonts w:ascii="Georgia" w:cs="Georgia" w:eastAsia="Georgia" w:hAnsi="Georgia"/>
                <w:color w:val="1A1A1A"/>
                <w:sz w:val="21"/>
                <w:szCs w:val="21"/>
              </w:rPr>
              <w:t xml:space="preserve">•  Annual federal cost at full deployment: $75B instead of $50B.</w:t>
            </w:r>
          </w:p>
          <w:p>
            <w:pPr>
              <w:spacing w:after="100" w:line="280"/>
            </w:pPr>
            <w:r>
              <w:rPr>
                <w:rFonts w:ascii="Georgia" w:cs="Georgia" w:eastAsia="Georgia" w:hAnsi="Georgia"/>
                <w:color w:val="1A1A1A"/>
                <w:sz w:val="21"/>
                <w:szCs w:val="21"/>
              </w:rPr>
              <w:t xml:space="preserve">•  Cumulative federal cost through Year 7: $390B instead of $258B.</w:t>
            </w:r>
          </w:p>
          <w:p>
            <w:pPr>
              <w:spacing w:after="100" w:line="280"/>
            </w:pPr>
            <w:r>
              <w:rPr>
                <w:rFonts w:ascii="Georgia" w:cs="Georgia" w:eastAsia="Georgia" w:hAnsi="Georgia"/>
                <w:color w:val="1A1A1A"/>
                <w:sz w:val="21"/>
                <w:szCs w:val="21"/>
              </w:rPr>
              <w:t xml:space="preserve">•  Total Civic Infrastructure pillar: $325B/yr instead of $300B/yr (still within envelope).</w:t>
            </w:r>
          </w:p>
          <w:p>
            <w:pPr>
              <w:spacing w:after="100" w:line="280"/>
            </w:pPr>
            <w:r>
              <w:rPr>
                <w:rFonts w:ascii="Georgia" w:cs="Georgia" w:eastAsia="Georgia" w:hAnsi="Georgia"/>
                <w:color w:val="1A1A1A"/>
                <w:sz w:val="21"/>
                <w:szCs w:val="21"/>
              </w:rPr>
              <w:t xml:space="preserve">•  % of GDP: 1.08% instead of 1.0% (marginal expansion).</w:t>
            </w:r>
          </w:p>
          <w:p>
            <w:pPr>
              <w:spacing w:after="100" w:line="280"/>
            </w:pPr>
            <w:r>
              <w:rPr>
                <w:rFonts w:ascii="Georgia" w:cs="Georgia" w:eastAsia="Georgia" w:hAnsi="Georgia"/>
                <w:color w:val="1A1A1A"/>
                <w:sz w:val="21"/>
                <w:szCs w:val="21"/>
              </w:rPr>
              <w:t xml:space="preserve">•  Coverage outcome: unchanged (still 100% by Year 7).</w:t>
            </w:r>
          </w:p>
          <w:p>
            <w:pPr>
              <w:spacing w:after="100" w:line="280"/>
            </w:pPr>
            <w:r>
              <w:rPr>
                <w:rFonts w:ascii="Georgia" w:cs="Georgia" w:eastAsia="Georgia" w:hAnsi="Georgia"/>
                <w:color w:val="1A1A1A"/>
                <w:sz w:val="21"/>
                <w:szCs w:val="21"/>
              </w:rPr>
              <w:t xml:space="preserve">•  VERDICT: Strained but absorbable. Sovereign Fund disbursement architecture absorbs the additional cost; pillar's 0.7-1.2% GDP envelope holds.</w:t>
            </w:r>
          </w:p>
        </w:tc>
      </w:tr>
    </w:tbl>
    <w:p>
      <w:pPr>
        <w:pStyle w:val="Heading2"/>
        <w:spacing w:after="160" w:before="360"/>
      </w:pPr>
      <w:r>
        <w:rPr>
          <w:rFonts w:ascii="Arial" w:cs="Arial" w:eastAsia="Arial" w:hAnsi="Arial"/>
          <w:b/>
          <w:bCs/>
          <w:color w:val="1F4E78"/>
          <w:sz w:val="28"/>
          <w:szCs w:val="28"/>
        </w:rPr>
        <w:t xml:space="preserve">Stress 3: Deployment Delays</w:t>
      </w:r>
    </w:p>
    <w:p>
      <w:pPr>
        <w:spacing w:after="200" w:line="320"/>
        <w:jc w:val="both"/>
      </w:pPr>
      <w:r>
        <w:rPr>
          <w:rFonts w:ascii="Georgia" w:cs="Georgia" w:eastAsia="Georgia" w:hAnsi="Georgia"/>
          <w:color w:val="1A1A1A"/>
          <w:sz w:val="22"/>
          <w:szCs w:val="22"/>
        </w:rPr>
        <w:t xml:space="preserve">If permitting delays, supply chain issues, or regulatory pushback slow deployment by 3 years:</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8E8E8"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Stress 3 results</w:t>
            </w:r>
          </w:p>
          <w:p>
            <w:pPr>
              <w:spacing w:after="100" w:line="280"/>
            </w:pPr>
            <w:r>
              <w:rPr>
                <w:rFonts w:ascii="Georgia" w:cs="Georgia" w:eastAsia="Georgia" w:hAnsi="Georgia"/>
                <w:color w:val="1A1A1A"/>
                <w:sz w:val="21"/>
                <w:szCs w:val="21"/>
              </w:rPr>
              <w:t xml:space="preserve">•  Full coverage achieved Year 10 instead of Year 7.</w:t>
            </w:r>
          </w:p>
          <w:p>
            <w:pPr>
              <w:spacing w:after="100" w:line="280"/>
            </w:pPr>
            <w:r>
              <w:rPr>
                <w:rFonts w:ascii="Georgia" w:cs="Georgia" w:eastAsia="Georgia" w:hAnsi="Georgia"/>
                <w:color w:val="1A1A1A"/>
                <w:sz w:val="21"/>
                <w:szCs w:val="21"/>
              </w:rPr>
              <w:t xml:space="preserve">•  Annual federal cost at full deployment: unchanged $50B.</w:t>
            </w:r>
          </w:p>
          <w:p>
            <w:pPr>
              <w:spacing w:after="100" w:line="280"/>
            </w:pPr>
            <w:r>
              <w:rPr>
                <w:rFonts w:ascii="Georgia" w:cs="Georgia" w:eastAsia="Georgia" w:hAnsi="Georgia"/>
                <w:color w:val="1A1A1A"/>
                <w:sz w:val="21"/>
                <w:szCs w:val="21"/>
              </w:rPr>
              <w:t xml:space="preserve">•  Cumulative cost through Year 7: $180B (less because deployment is behind schedule).</w:t>
            </w:r>
          </w:p>
          <w:p>
            <w:pPr>
              <w:spacing w:after="100" w:line="280"/>
            </w:pPr>
            <w:r>
              <w:rPr>
                <w:rFonts w:ascii="Georgia" w:cs="Georgia" w:eastAsia="Georgia" w:hAnsi="Georgia"/>
                <w:color w:val="1A1A1A"/>
                <w:sz w:val="21"/>
                <w:szCs w:val="21"/>
              </w:rPr>
              <w:t xml:space="preserve">•  Cumulative cost through Year 10: $330B (less than baseline).</w:t>
            </w:r>
          </w:p>
          <w:p>
            <w:pPr>
              <w:spacing w:after="100" w:line="280"/>
            </w:pPr>
            <w:r>
              <w:rPr>
                <w:rFonts w:ascii="Georgia" w:cs="Georgia" w:eastAsia="Georgia" w:hAnsi="Georgia"/>
                <w:color w:val="1A1A1A"/>
                <w:sz w:val="21"/>
                <w:szCs w:val="21"/>
              </w:rPr>
              <w:t xml:space="preserve">•  Coverage outcome: 75% by Year 7 (still better than Path B baseline of ~88%).</w:t>
            </w:r>
          </w:p>
          <w:p>
            <w:pPr>
              <w:spacing w:after="100" w:line="280"/>
            </w:pPr>
            <w:r>
              <w:rPr>
                <w:rFonts w:ascii="Georgia" w:cs="Georgia" w:eastAsia="Georgia" w:hAnsi="Georgia"/>
                <w:color w:val="1A1A1A"/>
                <w:sz w:val="21"/>
                <w:szCs w:val="21"/>
              </w:rPr>
              <w:t>•  Cross-pillar effects: mental health, education, Civic Technology pillar effects delayed correspondingly.</w:t>
            </w:r>
          </w:p>
          <w:p>
            <w:pPr>
              <w:spacing w:after="100" w:line="280"/>
            </w:pPr>
            <w:r>
              <w:rPr>
                <w:rFonts w:ascii="Georgia" w:cs="Georgia" w:eastAsia="Georgia" w:hAnsi="Georgia"/>
                <w:color w:val="1A1A1A"/>
                <w:sz w:val="21"/>
                <w:szCs w:val="21"/>
              </w:rPr>
              <w:t xml:space="preserve">•  VERDICT: Slip extends timeline and delays cross-pillar benefits. Coverage remains 100% achievable, just on slower timeline. Pillar envelope maintained.</w:t>
            </w:r>
          </w:p>
        </w:tc>
      </w:tr>
    </w:tbl>
    <w:p>
      <w:pPr>
        <w:pStyle w:val="Heading2"/>
        <w:spacing w:after="160" w:before="360"/>
      </w:pPr>
      <w:r>
        <w:rPr>
          <w:rFonts w:ascii="Arial" w:cs="Arial" w:eastAsia="Arial" w:hAnsi="Arial"/>
          <w:b/>
          <w:bCs/>
          <w:color w:val="1F4E78"/>
          <w:sz w:val="28"/>
          <w:szCs w:val="28"/>
        </w:rPr>
        <w:t xml:space="preserve">Stress 4: Tier 3 (Incumbent) Provider Mix</w:t>
      </w:r>
    </w:p>
    <w:p>
      <w:pPr>
        <w:spacing w:after="200" w:line="320"/>
        <w:jc w:val="both"/>
      </w:pPr>
      <w:r>
        <w:rPr>
          <w:rFonts w:ascii="Georgia" w:cs="Georgia" w:eastAsia="Georgia" w:hAnsi="Georgia"/>
          <w:color w:val="1A1A1A"/>
          <w:sz w:val="22"/>
          <w:szCs w:val="22"/>
        </w:rPr>
        <w:t xml:space="preserve">If cooperative and municipal provider expansion proceeds slower than projected, incumbent telecoms must serve a larger share of contracts at higher wholesale prices:</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8E8E8"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Stress 4 results</w:t>
            </w:r>
          </w:p>
          <w:p>
            <w:pPr>
              <w:spacing w:after="100" w:line="280"/>
            </w:pPr>
            <w:r>
              <w:rPr>
                <w:rFonts w:ascii="Georgia" w:cs="Georgia" w:eastAsia="Georgia" w:hAnsi="Georgia"/>
                <w:color w:val="1A1A1A"/>
                <w:sz w:val="21"/>
                <w:szCs w:val="21"/>
              </w:rPr>
              <w:t xml:space="preserve">•  Tier 1 + Tier 2 share: 60% instead of projected 85%.</w:t>
            </w:r>
          </w:p>
          <w:p>
            <w:pPr>
              <w:spacing w:after="100" w:line="280"/>
            </w:pPr>
            <w:r>
              <w:rPr>
                <w:rFonts w:ascii="Georgia" w:cs="Georgia" w:eastAsia="Georgia" w:hAnsi="Georgia"/>
                <w:color w:val="1A1A1A"/>
                <w:sz w:val="21"/>
                <w:szCs w:val="21"/>
              </w:rPr>
              <w:t xml:space="preserve">•  Tier 3 (incumbent) share: 40% instead of projected 15%.</w:t>
            </w:r>
          </w:p>
          <w:p>
            <w:pPr>
              <w:spacing w:after="100" w:line="280"/>
            </w:pPr>
            <w:r>
              <w:rPr>
                <w:rFonts w:ascii="Georgia" w:cs="Georgia" w:eastAsia="Georgia" w:hAnsi="Georgia"/>
                <w:color w:val="1A1A1A"/>
                <w:sz w:val="21"/>
                <w:szCs w:val="21"/>
              </w:rPr>
              <w:t xml:space="preserve">•  Average wholesale cost: $40/mo instead of $33/mo (incumbents charge more).</w:t>
            </w:r>
          </w:p>
          <w:p>
            <w:pPr>
              <w:spacing w:after="100" w:line="280"/>
            </w:pPr>
            <w:r>
              <w:rPr>
                <w:rFonts w:ascii="Georgia" w:cs="Georgia" w:eastAsia="Georgia" w:hAnsi="Georgia"/>
                <w:color w:val="1A1A1A"/>
                <w:sz w:val="21"/>
                <w:szCs w:val="21"/>
              </w:rPr>
              <w:t xml:space="preserve">•  Annual federal cost at full deployment: $63B instead of $50B.</w:t>
            </w:r>
          </w:p>
          <w:p>
            <w:pPr>
              <w:spacing w:after="100" w:line="280"/>
            </w:pPr>
            <w:r>
              <w:rPr>
                <w:rFonts w:ascii="Georgia" w:cs="Georgia" w:eastAsia="Georgia" w:hAnsi="Georgia"/>
                <w:color w:val="1A1A1A"/>
                <w:sz w:val="21"/>
                <w:szCs w:val="21"/>
              </w:rPr>
              <w:t xml:space="preserve">•  Workforce composition: shifted toward incumbent retraining rather than cooperative-led expansion.</w:t>
            </w:r>
          </w:p>
          <w:p>
            <w:pPr>
              <w:spacing w:after="100" w:line="280"/>
            </w:pPr>
            <w:r>
              <w:rPr>
                <w:rFonts w:ascii="Georgia" w:cs="Georgia" w:eastAsia="Georgia" w:hAnsi="Georgia"/>
                <w:color w:val="1A1A1A"/>
                <w:sz w:val="21"/>
                <w:szCs w:val="21"/>
              </w:rPr>
              <w:t xml:space="preserve">•  Industry consolidation: less; incumbents retain larger market share.</w:t>
            </w:r>
          </w:p>
          <w:p>
            <w:pPr>
              <w:spacing w:after="100" w:line="280"/>
            </w:pPr>
            <w:r>
              <w:rPr>
                <w:rFonts w:ascii="Georgia" w:cs="Georgia" w:eastAsia="Georgia" w:hAnsi="Georgia"/>
                <w:color w:val="1A1A1A"/>
                <w:sz w:val="21"/>
                <w:szCs w:val="21"/>
              </w:rPr>
              <w:t xml:space="preserve">•  VERDICT: Cost escalation similar to Stress 2 magnitude. Within envelope. Cooperative expansion slower than ideal but doesn't compromise commitment.</w:t>
            </w:r>
          </w:p>
        </w:tc>
      </w:tr>
    </w:tbl>
    <w:p>
      <w:pPr>
        <w:pStyle w:val="Heading2"/>
        <w:spacing w:after="160" w:before="360"/>
      </w:pPr>
      <w:r>
        <w:rPr>
          <w:rFonts w:ascii="Arial" w:cs="Arial" w:eastAsia="Arial" w:hAnsi="Arial"/>
          <w:b/>
          <w:bCs/>
          <w:color w:val="1F4E78"/>
          <w:sz w:val="28"/>
          <w:szCs w:val="28"/>
        </w:rPr>
        <w:t xml:space="preserve">Stress 5: Combined Adverse</w:t>
      </w:r>
    </w:p>
    <w:p>
      <w:pPr>
        <w:spacing w:after="200" w:line="320"/>
        <w:jc w:val="both"/>
      </w:pPr>
      <w:r>
        <w:rPr>
          <w:rFonts w:ascii="Georgia" w:cs="Georgia" w:eastAsia="Georgia" w:hAnsi="Georgia"/>
          <w:color w:val="1A1A1A"/>
          <w:sz w:val="22"/>
          <w:szCs w:val="22"/>
        </w:rPr>
        <w:t xml:space="preserve">If multiple stresses combine — workforce slow expansion + cost escalation + Tier 3 dominant + 2-year deployment slip:</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8E8E8"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Combined adverse stress</w:t>
            </w:r>
          </w:p>
          <w:p>
            <w:pPr>
              <w:spacing w:after="100" w:line="280"/>
            </w:pPr>
            <w:r>
              <w:rPr>
                <w:rFonts w:ascii="Georgia" w:cs="Georgia" w:eastAsia="Georgia" w:hAnsi="Georgia"/>
                <w:color w:val="1A1A1A"/>
                <w:sz w:val="21"/>
                <w:szCs w:val="21"/>
              </w:rPr>
              <w:t xml:space="preserve">•  Annual federal cost at full deployment: $85B (vs $50B baseline).</w:t>
            </w:r>
          </w:p>
          <w:p>
            <w:pPr>
              <w:spacing w:after="100" w:line="280"/>
            </w:pPr>
            <w:r>
              <w:rPr>
                <w:rFonts w:ascii="Georgia" w:cs="Georgia" w:eastAsia="Georgia" w:hAnsi="Georgia"/>
                <w:color w:val="1A1A1A"/>
                <w:sz w:val="21"/>
                <w:szCs w:val="21"/>
              </w:rPr>
              <w:t xml:space="preserve">•  Full coverage achieved Year 10 (vs Year 7 baseline).</w:t>
            </w:r>
          </w:p>
          <w:p>
            <w:pPr>
              <w:spacing w:after="100" w:line="280"/>
            </w:pPr>
            <w:r>
              <w:rPr>
                <w:rFonts w:ascii="Georgia" w:cs="Georgia" w:eastAsia="Georgia" w:hAnsi="Georgia"/>
                <w:color w:val="1A1A1A"/>
                <w:sz w:val="21"/>
                <w:szCs w:val="21"/>
              </w:rPr>
              <w:t xml:space="preserve">•  Cumulative cost through Year 10: $480B (vs $354B baseline).</w:t>
            </w:r>
          </w:p>
          <w:p>
            <w:pPr>
              <w:spacing w:after="100" w:line="280"/>
            </w:pPr>
            <w:r>
              <w:rPr>
                <w:rFonts w:ascii="Georgia" w:cs="Georgia" w:eastAsia="Georgia" w:hAnsi="Georgia"/>
                <w:color w:val="1A1A1A"/>
                <w:sz w:val="21"/>
                <w:szCs w:val="21"/>
              </w:rPr>
              <w:t xml:space="preserve">•  Total Civic Infrastructure pillar: $345B/yr at peak (vs $300B baseline).</w:t>
            </w:r>
          </w:p>
          <w:p>
            <w:pPr>
              <w:spacing w:after="100" w:line="280"/>
            </w:pPr>
            <w:r>
              <w:rPr>
                <w:rFonts w:ascii="Georgia" w:cs="Georgia" w:eastAsia="Georgia" w:hAnsi="Georgia"/>
                <w:color w:val="1A1A1A"/>
                <w:sz w:val="21"/>
                <w:szCs w:val="21"/>
              </w:rPr>
              <w:t xml:space="preserve">•  % of GDP: 1.15% (vs 1.0% baseline; just beyond 1.1% envelope).</w:t>
            </w:r>
          </w:p>
          <w:p>
            <w:pPr>
              <w:spacing w:after="100" w:line="280"/>
            </w:pPr>
            <w:r>
              <w:rPr>
                <w:rFonts w:ascii="Georgia" w:cs="Georgia" w:eastAsia="Georgia" w:hAnsi="Georgia"/>
                <w:color w:val="1A1A1A"/>
                <w:sz w:val="21"/>
                <w:szCs w:val="21"/>
              </w:rPr>
              <w:t xml:space="preserve">•  Coverage outcome: 100% achievable; just on slower timeline.</w:t>
            </w:r>
          </w:p>
          <w:p>
            <w:pPr>
              <w:spacing w:after="100" w:line="280"/>
            </w:pPr>
            <w:r>
              <w:rPr>
                <w:rFonts w:ascii="Georgia" w:cs="Georgia" w:eastAsia="Georgia" w:hAnsi="Georgia"/>
                <w:color w:val="1A1A1A"/>
                <w:sz w:val="21"/>
                <w:szCs w:val="21"/>
              </w:rPr>
              <w:t>•  Cross-pillar effects: substantial delays in mental health, education, Civic Technology pillars. Real harm produced by slow deployment.</w:t>
            </w:r>
          </w:p>
          <w:p>
            <w:pPr>
              <w:spacing w:after="100" w:line="280"/>
            </w:pPr>
            <w:r>
              <w:rPr>
                <w:rFonts w:ascii="Georgia" w:cs="Georgia" w:eastAsia="Georgia" w:hAnsi="Georgia"/>
                <w:color w:val="1A1A1A"/>
                <w:sz w:val="21"/>
                <w:szCs w:val="21"/>
              </w:rPr>
              <w:t xml:space="preserve">•  VERDICT: Stress strains the pillar envelope and delays cross-pillar benefits. Path A remains operational; commitment achievable. Deployment quality and pace matter for the platform's broader effectiveness.</w:t>
            </w:r>
          </w:p>
        </w:tc>
      </w:tr>
    </w:tbl>
    <w:p>
      <w:pPr>
        <w:pStyle w:val="Heading2"/>
        <w:spacing w:after="160" w:before="360"/>
      </w:pPr>
      <w:r>
        <w:rPr>
          <w:rFonts w:ascii="Arial" w:cs="Arial" w:eastAsia="Arial" w:hAnsi="Arial"/>
          <w:b/>
          <w:bCs/>
          <w:color w:val="1F4E78"/>
          <w:sz w:val="28"/>
          <w:szCs w:val="28"/>
        </w:rPr>
        <w:t xml:space="preserve">Resilience Verdict</w:t>
      </w:r>
    </w:p>
    <w:p>
      <w:pPr>
        <w:spacing w:after="200" w:line="320"/>
        <w:jc w:val="both"/>
      </w:pPr>
      <w:r>
        <w:rPr>
          <w:rFonts w:ascii="Georgia" w:cs="Georgia" w:eastAsia="Georgia" w:hAnsi="Georgia"/>
          <w:color w:val="1A1A1A"/>
          <w:sz w:val="22"/>
          <w:szCs w:val="22"/>
        </w:rPr>
        <w:t xml:space="preserve">Path A is robust to operational stresses. None of the stress scenarios push the commitment outside achievability. The most concerning stress is combined adverse with deployment slip — not because Path A fails, but because slow deployment delays cross-pillar benefits to populations who need them. Workforce expansion is the most binding constraint; sustained federal commitment to training pipeline expansion is what prevents Stress 1 from materializing.</w:t>
      </w:r>
    </w:p>
    <w:p>
      <w:pPr>
        <w:spacing w:after="200" w:line="320"/>
        <w:jc w:val="both"/>
      </w:pPr>
      <w:r>
        <w:rPr>
          <w:rFonts w:ascii="Georgia" w:cs="Georgia" w:eastAsia="Georgia" w:hAnsi="Georgia"/>
          <w:color w:val="1A1A1A"/>
          <w:sz w:val="22"/>
          <w:szCs w:val="22"/>
        </w:rPr>
        <w:t xml:space="preserve">The substantiation work demonstrates that affordability is not Path A's risk — the funding architecture absorbs adverse scenarios within pillar envelope. The risk is operational execution: workforce expansion, regulatory reform implementation, deployment quality, provider participation. These are executive branch implementation challenges, not legislative funding challenges. The platform's commitment includes management attention to these implementation risks throughout the buildout.</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 xml:space="preserve">“Path A is robust to operational stresses. The risk isn't affordability — the funding architecture absorbs adverse scenarios. The risk is operational execution. Sustained federal commitment to training pipeline expansion prevents the most binding stress from materializing.”</w:t>
            </w:r>
          </w:p>
        </w:tc>
      </w:tr>
    </w:tbl>
    <w:p>
      <w:r>
        <w:br w:type="page"/>
      </w:r>
    </w:p>
    <w:p>
      <w:pPr>
        <w:pStyle w:val="Heading1"/>
        <w:spacing w:after="240" w:before="480"/>
      </w:pPr>
      <w:r>
        <w:rPr>
          <w:rFonts w:ascii="Arial" w:cs="Arial" w:eastAsia="Arial" w:hAnsi="Arial"/>
          <w:b/>
          <w:bCs/>
          <w:color w:val="1F4E78"/>
          <w:sz w:val="36"/>
          <w:szCs w:val="36"/>
        </w:rPr>
        <w:t xml:space="preserve">Cross-Pillar Effects</w:t>
      </w:r>
    </w:p>
    <w:p>
      <w:pPr>
        <w:spacing w:after="240" w:line="340"/>
        <w:jc w:val="both"/>
      </w:pPr>
      <w:r>
        <w:rPr>
          <w:rFonts w:ascii="Georgia" w:cs="Georgia" w:eastAsia="Georgia" w:hAnsi="Georgia"/>
          <w:color w:val="1A1A1A"/>
          <w:sz w:val="24"/>
          <w:szCs w:val="24"/>
        </w:rPr>
        <w:t xml:space="preserve">Path A's universal coverage is what makes several other platform pillars actually deliverable as universal commitments. This section quantifies the cross-pillar effects.</w:t>
      </w:r>
    </w:p>
    <w:p>
      <w:pPr>
        <w:pStyle w:val="Heading2"/>
        <w:spacing w:after="160" w:before="360"/>
      </w:pPr>
      <w:r>
        <w:rPr>
          <w:rFonts w:ascii="Arial" w:cs="Arial" w:eastAsia="Arial" w:hAnsi="Arial"/>
          <w:b/>
          <w:bCs/>
          <w:color w:val="1F4E78"/>
          <w:sz w:val="28"/>
          <w:szCs w:val="28"/>
        </w:rPr>
        <w:t xml:space="preserve">Mental Health Pillar</w:t>
      </w:r>
    </w:p>
    <w:p>
      <w:pPr>
        <w:spacing w:after="200" w:line="320"/>
        <w:jc w:val="both"/>
      </w:pPr>
      <w:r>
        <w:rPr>
          <w:rFonts w:ascii="Georgia" w:cs="Georgia" w:eastAsia="Georgia" w:hAnsi="Georgia"/>
          <w:color w:val="1A1A1A"/>
          <w:sz w:val="22"/>
          <w:szCs w:val="22"/>
        </w:rPr>
        <w:t>The Universal Mental Health Access Substantiation identified telehealth as the workforce capacity multiplier (1.5-2.5x) that makes Universal Mental Health access operationally feasible despite the binding psychiatrist shortage. Path A's universal broadband makes telehealth available to every household. Path B's 12% effective coverage gap would have meant telehealth-based capacity reaches 88% of population; Path A delivers the full 1.5-2.5x multiplier across 100% of population. Mental health pillar's universal access target reaches operational feasibility by Year 8-12 specifically because broadband universality enables telehealth universality.</w:t>
      </w:r>
    </w:p>
    <w:p>
      <w:pPr>
        <w:pStyle w:val="Heading2"/>
        <w:spacing w:after="160" w:before="360"/>
      </w:pPr>
      <w:r>
        <w:rPr>
          <w:rFonts w:ascii="Arial" w:cs="Arial" w:eastAsia="Arial" w:hAnsi="Arial"/>
          <w:b/>
          <w:bCs/>
          <w:color w:val="1F4E78"/>
          <w:sz w:val="28"/>
          <w:szCs w:val="28"/>
        </w:rPr>
        <w:t xml:space="preserve">Sovereign Education Fund</w:t>
      </w:r>
    </w:p>
    <w:p>
      <w:pPr>
        <w:spacing w:after="200" w:line="320"/>
        <w:jc w:val="both"/>
      </w:pPr>
      <w:r>
        <w:rPr>
          <w:rFonts w:ascii="Georgia" w:cs="Georgia" w:eastAsia="Georgia" w:hAnsi="Georgia"/>
          <w:color w:val="1A1A1A"/>
          <w:sz w:val="22"/>
          <w:szCs w:val="22"/>
        </w:rPr>
        <w:t xml:space="preserve">The platform's Sovereign Education Fund commitment includes online education delivery as a substantial component of post-secondary access (particularly for rural areas, working adults, and students with caregiving responsibilities). Path A's universal broadband enables online education delivery to every household. Combined with library backstop for households who prefer in-person engagement, the education pillar's reach is structurally complete. Aid distribution through return-free filing data flows through the civic platform's universal interface, eliminating the FAFSA-style application friction that currently discourages eligible students from applying.</w:t>
      </w:r>
    </w:p>
    <w:p>
      <w:pPr>
        <w:pStyle w:val="Heading2"/>
        <w:spacing w:after="160" w:before="360"/>
      </w:pPr>
      <w:r>
        <w:rPr>
          <w:rFonts w:ascii="Arial" w:cs="Arial" w:eastAsia="Arial" w:hAnsi="Arial"/>
          <w:b/>
          <w:bCs/>
          <w:color w:val="1F4E78"/>
          <w:sz w:val="28"/>
          <w:szCs w:val="28"/>
        </w:rPr>
        <w:t xml:space="preserve">Universal Healthcare and Childcare</w:t>
      </w:r>
    </w:p>
    <w:p>
      <w:pPr>
        <w:spacing w:after="200" w:line="320"/>
        <w:jc w:val="both"/>
      </w:pPr>
      <w:r>
        <w:rPr>
          <w:rFonts w:ascii="Georgia" w:cs="Georgia" w:eastAsia="Georgia" w:hAnsi="Georgia"/>
          <w:color w:val="1A1A1A"/>
          <w:sz w:val="22"/>
          <w:szCs w:val="22"/>
        </w:rPr>
        <w:t xml:space="preserve">Healthcare delivery increasingly relies on broadband infrastructure: electronic health records, prescription transmission, telehealth, scheduling, eligibility verification. Path A's universal coverage means healthcare's digital infrastructure reaches every household. Childcare access requires parents to find providers, navigate enrollment, and coordinate logistics; Path A's universal coverage plus the civic platform delivers this through a unified interface available to every household.</w:t>
      </w:r>
    </w:p>
    <w:p>
      <w:pPr>
        <w:pStyle w:val="Heading2"/>
        <w:spacing w:after="160" w:before="360"/>
      </w:pPr>
      <w:r>
        <w:rPr>
          <w:rFonts w:ascii="Arial" w:cs="Arial" w:eastAsia="Arial" w:hAnsi="Arial"/>
          <w:b/>
          <w:bCs/>
          <w:color w:val="1F4E78"/>
          <w:sz w:val="28"/>
          <w:szCs w:val="28"/>
        </w:rPr>
        <w:t xml:space="preserve">Civic Technology Component</w:t>
      </w:r>
    </w:p>
    <w:p>
      <w:pPr>
        <w:spacing w:after="200" w:line="320"/>
        <w:jc w:val="both"/>
      </w:pPr>
      <w:r>
        <w:rPr>
          <w:rFonts w:ascii="Georgia" w:cs="Georgia" w:eastAsia="Georgia" w:hAnsi="Georgia"/>
          <w:color w:val="1A1A1A"/>
          <w:sz w:val="22"/>
          <w:szCs w:val="22"/>
        </w:rPr>
        <w:t xml:space="preserve">The civic communication platform discussed in the Modernize Civic Engagement Integrated Argument depends on universal broadband to deliver universal civic engagement. Path A makes the civic platform's universality structural rather than aspirational. The integrated argument's analysis is the strongest case for Path A precisely because civic platform universality requires broadband universality.</w:t>
      </w:r>
    </w:p>
    <w:p>
      <w:pPr>
        <w:pStyle w:val="Heading2"/>
        <w:spacing w:after="160" w:before="360"/>
      </w:pPr>
      <w:r>
        <w:rPr>
          <w:rFonts w:ascii="Arial" w:cs="Arial" w:eastAsia="Arial" w:hAnsi="Arial"/>
          <w:b/>
          <w:bCs/>
          <w:color w:val="1F4E78"/>
          <w:sz w:val="28"/>
          <w:szCs w:val="28"/>
        </w:rPr>
        <w:t xml:space="preserve">Wage Floor Architecture</w:t>
      </w:r>
    </w:p>
    <w:p>
      <w:pPr>
        <w:spacing w:after="200" w:line="320"/>
        <w:jc w:val="both"/>
      </w:pPr>
      <w:r>
        <w:rPr>
          <w:rFonts w:ascii="Georgia" w:cs="Georgia" w:eastAsia="Georgia" w:hAnsi="Georgia"/>
          <w:color w:val="1A1A1A"/>
          <w:sz w:val="22"/>
          <w:szCs w:val="22"/>
        </w:rPr>
        <w:t xml:space="preserve">The platform's wage floor commitment relies partly on telework expanding employment opportunity for workers in low-wage areas. Path A's universal broadband makes telework structurally available everywhere; rural workers can pursue remote employment that would otherwise require relocation to high-cost-of-living metropolitan areas. Wage floors become more achievable when geographic labor market constraints are reduced through universal connectivity.</w:t>
      </w:r>
    </w:p>
    <w:p>
      <w:pPr>
        <w:pStyle w:val="Heading1"/>
        <w:spacing w:after="240" w:before="480"/>
      </w:pPr>
      <w:r>
        <w:rPr>
          <w:rFonts w:ascii="Arial" w:cs="Arial" w:eastAsia="Arial" w:hAnsi="Arial"/>
          <w:b/>
          <w:bCs/>
          <w:color w:val="1F4E78"/>
          <w:sz w:val="36"/>
          <w:szCs w:val="36"/>
        </w:rPr>
        <w:t>Scam Call and Phishing Attack Reduction</w:t>
      </w:r>
    </w:p>
    <w:p>
      <w:pPr>
        <w:spacing w:after="240" w:line="340"/>
        <w:jc w:val="both"/>
      </w:pPr>
      <w:r>
        <w:rPr>
          <w:rFonts w:ascii="Georgia" w:cs="Georgia" w:eastAsia="Georgia" w:hAnsi="Georgia"/>
          <w:color w:val="1A1A1A"/>
          <w:sz w:val="24"/>
          <w:szCs w:val="24"/>
        </w:rPr>
        <w:t>Universal broadband under federal infrastructure ownership and operation enables uniform enforcement of existing anti-spoofing and authentication standards (STIR/SHAKEN for caller authentication, DMARC for email authentication, SMS sender verification, DNS-level threat blocking) that today are inconsistently applied across the patchwork of private carriers. This produces meaningful reduction in scam call volume and phishing attack reach at the infrastructure layer. The reduction is partial rather than complete: infrastructure-level enforcement addresses spoofing and authentication failures and known-bad-source blocking, but cannot solve attacks that use legitimate channels, sophisticated content evasion, compromised legitimate accounts, endpoint malware, or foreign-origin routing that bypasses US infrastructure. Endpoint security, user education, and content-level analysis remain necessary complementary protections. For the full analytical treatment of this benefit category including civil liberties safeguards (metadata-level enforcement only, transparent block lists, appeals processes, court oversight, no content scanning), see the 'Scam Call and Phishing Attack Reduction Through Infrastructure-Level Enforcement' section in Federal Infrastructure Fee. The platform's claim is infrastructure-layer reduction in attack volume and effectiveness, not elimination of scams or phishing.</w:t>
      </w:r>
    </w:p>
    <w:p>
      <w:pPr>
        <w:pStyle w:val="Heading1"/>
        <w:spacing w:after="240" w:before="480"/>
      </w:pPr>
      <w:r>
        <w:rPr>
          <w:rFonts w:ascii="Arial" w:cs="Arial" w:eastAsia="Arial" w:hAnsi="Arial"/>
          <w:b/>
          <w:bCs/>
          <w:color w:val="1F4E78"/>
          <w:sz w:val="36"/>
          <w:szCs w:val="36"/>
        </w:rPr>
        <w:t xml:space="preserve">Honest Acknowledgments</w:t>
      </w:r>
    </w:p>
    <w:p>
      <w:pPr>
        <w:spacing w:after="240" w:line="340"/>
        <w:jc w:val="both"/>
      </w:pPr>
      <w:r>
        <w:rPr>
          <w:rFonts w:ascii="Georgia" w:cs="Georgia" w:eastAsia="Georgia" w:hAnsi="Georgia"/>
          <w:color w:val="1A1A1A"/>
          <w:sz w:val="24"/>
          <w:szCs w:val="24"/>
        </w:rPr>
        <w:t xml:space="preserve">This substantiation establishes that Path A is operationally feasible. It doesn't establish that Path A is risk-free. Several acknowledgments warrant explicit treatment.</w:t>
      </w:r>
    </w:p>
    <w:p>
      <w:pPr>
        <w:pStyle w:val="Heading2"/>
        <w:spacing w:after="160" w:before="360"/>
      </w:pPr>
      <w:r>
        <w:rPr>
          <w:rFonts w:ascii="Arial" w:cs="Arial" w:eastAsia="Arial" w:hAnsi="Arial"/>
          <w:b/>
          <w:bCs/>
          <w:color w:val="1F4E78"/>
          <w:sz w:val="28"/>
          <w:szCs w:val="28"/>
        </w:rPr>
        <w:t xml:space="preserve">Workforce Expansion Is Difficult</w:t>
      </w:r>
    </w:p>
    <w:p>
      <w:pPr>
        <w:spacing w:after="200" w:line="320"/>
        <w:jc w:val="both"/>
      </w:pPr>
      <w:r>
        <w:rPr>
          <w:rFonts w:ascii="Georgia" w:cs="Georgia" w:eastAsia="Georgia" w:hAnsi="Georgia"/>
          <w:color w:val="1A1A1A"/>
          <w:sz w:val="22"/>
          <w:szCs w:val="22"/>
        </w:rPr>
        <w:t xml:space="preserve">The 100,000-worker fiber installer expansion over 5 years is achievable but not easy. Training pipeline scaling requires sustained federal investment, coordination across community colleges, unions, industry, and federal agencies, and willingness to fund programs that produce workforce in specific geographic areas matching deployment needs. If federal commitment to workforce expansion falters mid-buildout, deployment timeline slips substantially. The substantiation depends on sustained executive branch attention, not just initial legislation.</w:t>
      </w:r>
    </w:p>
    <w:p>
      <w:pPr>
        <w:pStyle w:val="Heading2"/>
        <w:spacing w:after="160" w:before="360"/>
      </w:pPr>
      <w:r>
        <w:rPr>
          <w:rFonts w:ascii="Arial" w:cs="Arial" w:eastAsia="Arial" w:hAnsi="Arial"/>
          <w:b/>
          <w:bCs/>
          <w:color w:val="1F4E78"/>
          <w:sz w:val="28"/>
          <w:szCs w:val="28"/>
        </w:rPr>
        <w:t xml:space="preserve">Regulatory Reform Faces Real Opposition</w:t>
      </w:r>
    </w:p>
    <w:p>
      <w:pPr>
        <w:spacing w:after="200" w:line="320"/>
        <w:jc w:val="both"/>
      </w:pPr>
      <w:r>
        <w:rPr>
          <w:rFonts w:ascii="Georgia" w:cs="Georgia" w:eastAsia="Georgia" w:hAnsi="Georgia"/>
          <w:color w:val="1A1A1A"/>
          <w:sz w:val="22"/>
          <w:szCs w:val="22"/>
        </w:rPr>
        <w:t xml:space="preserve">Pole attachment reform faces opposition from incumbent pole owners (utilities, telecoms) who profit from delays. FCC mapping reform faces opposition from providers who benefit from inflated coverage claims. USF reform faces opposition from existing program beneficiaries. None of these reforms are technically difficult; all face political opposition that has blocked similar reforms previously. Sustained legislative and regulatory attention is required.</w:t>
      </w:r>
    </w:p>
    <w:p>
      <w:pPr>
        <w:pStyle w:val="Heading2"/>
        <w:spacing w:after="160" w:before="360"/>
      </w:pPr>
      <w:r>
        <w:rPr>
          <w:rFonts w:ascii="Arial" w:cs="Arial" w:eastAsia="Arial" w:hAnsi="Arial"/>
          <w:b/>
          <w:bCs/>
          <w:color w:val="1F4E78"/>
          <w:sz w:val="28"/>
          <w:szCs w:val="28"/>
        </w:rPr>
        <w:t xml:space="preserve">Industry Disruption Is Real</w:t>
      </w:r>
    </w:p>
    <w:p>
      <w:pPr>
        <w:spacing w:after="200" w:line="320"/>
        <w:jc w:val="both"/>
      </w:pPr>
      <w:r>
        <w:rPr>
          <w:rFonts w:ascii="Georgia" w:cs="Georgia" w:eastAsia="Georgia" w:hAnsi="Georgia"/>
          <w:color w:val="1A1A1A"/>
          <w:sz w:val="22"/>
          <w:szCs w:val="22"/>
        </w:rPr>
        <w:t xml:space="preserve">Path A produces approximately $42 billion per year in incumbent telecom retail revenue compression. This is real economic disruption affecting real shareholders, real employees, and real communities where incumbent telecoms are major employers. The platform's commitment is to manage this transition (workforce retraining, retained services for premium tiers, support for industry restructuring), but the disruption is real and substantial. Honest acknowledgment matters; minimization undermines the substantiation.</w:t>
      </w:r>
    </w:p>
    <w:p>
      <w:pPr>
        <w:pStyle w:val="Heading2"/>
        <w:spacing w:after="160" w:before="360"/>
      </w:pPr>
      <w:r>
        <w:rPr>
          <w:rFonts w:ascii="Arial" w:cs="Arial" w:eastAsia="Arial" w:hAnsi="Arial"/>
          <w:b/>
          <w:bCs/>
          <w:color w:val="1F4E78"/>
          <w:sz w:val="28"/>
          <w:szCs w:val="28"/>
        </w:rPr>
        <w:t xml:space="preserve">Federal Government as Single Dominant Customer</w:t>
      </w:r>
    </w:p>
    <w:p>
      <w:pPr>
        <w:spacing w:after="200" w:line="320"/>
        <w:jc w:val="both"/>
      </w:pPr>
      <w:r>
        <w:rPr>
          <w:rFonts w:ascii="Georgia" w:cs="Georgia" w:eastAsia="Georgia" w:hAnsi="Georgia"/>
          <w:color w:val="1A1A1A"/>
          <w:sz w:val="22"/>
          <w:szCs w:val="22"/>
        </w:rPr>
        <w:t xml:space="preserve">Path A makes the federal government the dominant customer for residential broadband providers. This creates risks: federal contracting authority becomes a chokepoint that future administrations could weaponize against specific providers, regions, or populations. Provider dependency on federal contracts could compromise their independence in policy debates. The contracting structure must include protections against these risks: long-term contract terms, judicial review of contract decisions, provider association protections, congressional oversight of contracting authority. The substantiation work flags these risks; the implementation must address them.</w:t>
      </w:r>
    </w:p>
    <w:p>
      <w:pPr>
        <w:pStyle w:val="Heading2"/>
        <w:spacing w:after="160" w:before="360"/>
      </w:pPr>
      <w:r>
        <w:rPr>
          <w:rFonts w:ascii="Arial" w:cs="Arial" w:eastAsia="Arial" w:hAnsi="Arial"/>
          <w:b/>
          <w:bCs/>
          <w:color w:val="1F4E78"/>
          <w:sz w:val="28"/>
          <w:szCs w:val="28"/>
        </w:rPr>
        <w:t xml:space="preserve">Service Standard Evolution Is a Long-Term Commitment</w:t>
      </w:r>
    </w:p>
    <w:p>
      <w:pPr>
        <w:spacing w:after="200" w:line="320"/>
        <w:jc w:val="both"/>
      </w:pPr>
      <w:r>
        <w:rPr>
          <w:rFonts w:ascii="Georgia" w:cs="Georgia" w:eastAsia="Georgia" w:hAnsi="Georgia"/>
          <w:color w:val="1A1A1A"/>
          <w:sz w:val="22"/>
          <w:szCs w:val="22"/>
        </w:rPr>
        <w:t xml:space="preserve">The service standard increase trajectory (100/20 → 250/50 → 500 symmetric → 1 Gbps symmetric) requires sustained federal investment over decades. Each increase requires equipment upgrades at every household and every aggregation point. Future administrations could under-fund or delay standard increases, allowing universal service to fall behind application bandwidth needs. The platform's commitment includes statutory service standard escalation tied to inflation-adjusted infrastructure investment requirements.</w:t>
      </w:r>
    </w:p>
    <w:p>
      <w:pPr>
        <w:pStyle w:val="Heading2"/>
        <w:spacing w:after="160" w:before="360"/>
      </w:pPr>
      <w:r>
        <w:rPr>
          <w:rFonts w:ascii="Arial" w:cs="Arial" w:eastAsia="Arial" w:hAnsi="Arial"/>
          <w:b/>
          <w:bCs/>
          <w:color w:val="1F4E78"/>
          <w:sz w:val="28"/>
          <w:szCs w:val="28"/>
        </w:rPr>
        <w:t xml:space="preserve">LEO Satellite Dependency</w:t>
      </w:r>
    </w:p>
    <w:p>
      <w:pPr>
        <w:spacing w:after="200" w:line="320"/>
        <w:jc w:val="both"/>
      </w:pPr>
      <w:r>
        <w:rPr>
          <w:rFonts w:ascii="Georgia" w:cs="Georgia" w:eastAsia="Georgia" w:hAnsi="Georgia"/>
          <w:color w:val="1A1A1A"/>
          <w:sz w:val="22"/>
          <w:szCs w:val="22"/>
        </w:rPr>
        <w:t xml:space="preserve">LEO satellite serves approximately 5% of households (frontier areas) with limited terrestrial alternatives. The current LEO market is dominated by SpaceX (Starlink). Sole-source dependency on a single private operator for ~6.6 million households' service is a genuine concern. Amazon (Kuiper), AST SpaceMobile, and additional LEO operators are entering the market, but reliance on private space infrastructure for universal service has different risk profile than reliance on terrestrial infrastructure. The substantiation work flags this; ongoing market development should reduce concentration risk over time.</w:t>
      </w:r>
    </w:p>
    <w:p>
      <w:pPr>
        <w:pStyle w:val="Heading2"/>
        <w:spacing w:after="160" w:before="360"/>
      </w:pPr>
      <w:r>
        <w:rPr>
          <w:rFonts w:ascii="Arial" w:cs="Arial" w:eastAsia="Arial" w:hAnsi="Arial"/>
          <w:b/>
          <w:bCs/>
          <w:color w:val="1F4E78"/>
          <w:sz w:val="28"/>
          <w:szCs w:val="28"/>
        </w:rPr>
        <w:t xml:space="preserve">Library Backstop Requires Library Investment</w:t>
      </w:r>
    </w:p>
    <w:p>
      <w:pPr>
        <w:spacing w:after="200" w:line="320"/>
        <w:jc w:val="both"/>
      </w:pPr>
      <w:r>
        <w:rPr>
          <w:rFonts w:ascii="Georgia" w:cs="Georgia" w:eastAsia="Georgia" w:hAnsi="Georgia"/>
          <w:color w:val="1A1A1A"/>
          <w:sz w:val="22"/>
          <w:szCs w:val="22"/>
        </w:rPr>
        <w:t xml:space="preserve">Path A's library backstop is structural commitment: every American within 5 miles of a library with high-speed connectivity, public terminals, private rooms, and trained librarians. This requires substantial expansion of library investment under the Public Spaces component (estimated $2-3B/year above existing baseline). If the library investment doesn't materialize, the backstop weakens; households who don't take home broadband lose their alternative civic engagement channel. The substantiation depends on Public Spaces component substantiation in subsequent platform versions delivering on the library commitment.</w:t>
      </w:r>
    </w:p>
    <w:p>
      <w:pPr>
        <w:pStyle w:val="Heading2"/>
        <w:spacing w:after="160" w:before="360"/>
      </w:pPr>
      <w:r>
        <w:rPr>
          <w:rFonts w:ascii="Arial" w:cs="Arial" w:eastAsia="Arial" w:hAnsi="Arial"/>
          <w:b/>
          <w:bCs/>
          <w:color w:val="1F4E78"/>
          <w:sz w:val="28"/>
          <w:szCs w:val="28"/>
        </w:rPr>
        <w:t xml:space="preserve">This Is a 30-Year Commitment, Not a 5-Year Project</w:t>
      </w:r>
    </w:p>
    <w:p>
      <w:pPr>
        <w:spacing w:after="200" w:line="320"/>
        <w:jc w:val="both"/>
      </w:pPr>
      <w:r>
        <w:rPr>
          <w:rFonts w:ascii="Georgia" w:cs="Georgia" w:eastAsia="Georgia" w:hAnsi="Georgia"/>
          <w:color w:val="1A1A1A"/>
          <w:sz w:val="22"/>
          <w:szCs w:val="22"/>
        </w:rPr>
        <w:t xml:space="preserve">Path A's deployment is 7 years, but the operational commitment is permanent. Universal service obligations don't end when deployment completes; they continue indefinitely with sustained federal funding, ongoing workforce, evolving service standards, and continuous infrastructure replacement. Future administrations could under-fund Path A operations after deployment, allowing service quality to degrade. The platform's commitment includes statutory protections against funding erosion, but the long-term commitment requires sustained political will, not just initial legislative passage.</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 xml:space="preserve">“This substantiation establishes that Path A is operationally feasible. It doesn't establish Path A is risk-free. Workforce expansion is difficult, regulatory reform faces opposition, industry disruption is real, federal contracting creates dependency risks. These are real challenges; the substantiation flags them; implementation must address them.”</w:t>
            </w:r>
          </w:p>
        </w:tc>
      </w:tr>
    </w:tbl>
    <w:p>
      <w:pPr>
        <w:spacing w:after="400"/>
      </w:pPr>
      <w:r>
        <w:t xml:space="preserve"/>
      </w:r>
    </w:p>
    <w:p>
      <w:pPr>
        <w:spacing w:after="100"/>
        <w:jc w:val="center"/>
      </w:pPr>
      <w:r>
        <w:rPr>
          <w:rFonts w:ascii="Georgia" w:cs="Georgia" w:eastAsia="Georgia" w:hAnsi="Georgia"/>
          <w:b/>
          <w:bCs/>
          <w:color w:val="1A1A1A"/>
          <w:sz w:val="24"/>
          <w:szCs w:val="24"/>
        </w:rPr>
        <w:t xml:space="preserve">Jason Robertson</w:t>
      </w:r>
    </w:p>
    <w:p>
      <w:pPr>
        <w:jc w:val="center"/>
      </w:pPr>
      <w:r>
        <w:rPr>
          <w:rFonts w:ascii="Georgia" w:cs="Georgia" w:eastAsia="Georgia" w:hAnsi="Georgia"/>
          <w:i/>
          <w:iCs/>
          <w:color w:val="595959"/>
          <w:sz w:val="22"/>
          <w:szCs w:val="22"/>
        </w:rPr>
        <w:t xml:space="preserve">Ohio, May 4, 2026</w:t>
      </w:r>
    </w:p>
    <w:p>
      <w:pPr>
        <w:jc w:val="center"/>
      </w:pPr>
      <w:r>
        <w:rPr>
          <w:rFonts w:ascii="Georgia" w:cs="Georgia" w:eastAsia="Georgia" w:hAnsi="Georgia"/>
          <w:i/>
          <w:iCs/>
          <w:color w:val="595959"/>
          <w:sz w:val="22"/>
          <w:szCs w:val="22"/>
        </w:rPr>
        <w:t>Related documents. Emergency Services Communications Modernization substantiates the implications of universal broadband infrastructure for 911 systems, NG911 deployment, FirstNet, tribal nation emergency communications, federal cellular co-deployment in coverage gaps, and the existing federal cybersecurity framework for public safety. Read that document for the specific application of universal broadband to emergency services.</w:t>
      </w:r>
    </w:p>
    <w:sectPr>
      <w:headerReference w:type="default" r:id="rId7"/>
      <w:footerReference w:type="default" r:id="rId8"/>
      <w:pgSz w:w="12240" w:h="15840" w:orient="portrait"/>
      <w:pgMar w:top="1620" w:right="1440" w:bottom="162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tbl>
    <w:tblPr>
      <w:tblW w:type="dxa" w:w="9000"/>
      <w:tblBorders>
        <w:top w:val="none"/>
        <w:left w:val="none"/>
        <w:bottom w:val="none"/>
        <w:right w:val="none"/>
        <w:insideH w:val="none"/>
        <w:insideV w:val="none"/>
      </w:tblBorders>
    </w:tblPr>
    <w:tblGrid>
      <w:gridCol w:w="3000"/>
      <w:gridCol w:w="3000"/>
      <w:gridCol w:w="3000"/>
    </w:tblGrid>
    <w:tr>
      <w:tc>
        <w:tcPr>
          <w:tcW w:type="dxa" w:w="3000"/>
          <w:tcBorders>
            <w:top w:val="none"/>
            <w:left w:val="none"/>
            <w:bottom w:val="none"/>
            <w:right w:val="none"/>
          </w:tcBorders>
        </w:tcPr>
        <w:p>
          <w:pPr>
            <w:jc w:val="left"/>
          </w:pPr>
          <w:r>
            <w:rPr>
              <w:rFonts w:ascii="Arial" w:cs="Arial" w:eastAsia="Arial" w:hAnsi="Arial"/>
              <w:color w:val="595959"/>
              <w:sz w:val="16"/>
              <w:szCs w:val="16"/>
            </w:rPr>
            <w:t xml:space="preserve">Universal Broadband Access · v1.0</w:t>
          </w:r>
        </w:p>
      </w:tc>
      <w:tc>
        <w:tcPr>
          <w:tcW w:type="dxa" w:w="3000"/>
          <w:tcBorders>
            <w:top w:val="none"/>
            <w:left w:val="none"/>
            <w:bottom w:val="none"/>
            <w:right w:val="none"/>
          </w:tcBorders>
        </w:tcPr>
        <w:p>
          <w:pPr>
            <w:jc w:val="center"/>
          </w:pPr>
          <w:r>
            <w:rPr>
              <w:rFonts w:ascii="Arial" w:cs="Arial" w:eastAsia="Arial" w:hAnsi="Arial"/>
              <w:color w:val="595959"/>
              <w:sz w:val="16"/>
              <w:szCs w:val="16"/>
            </w:rPr>
            <w:t xml:space="preserve">Page </w:t>
          </w:r>
          <w:r>
            <w:rPr>
              <w:rFonts w:ascii="Arial" w:cs="Arial" w:eastAsia="Arial" w:hAnsi="Arial"/>
              <w:color w:val="595959"/>
              <w:sz w:val="16"/>
              <w:szCs w:val="16"/>
            </w:rPr>
            <w:fldChar w:fldCharType="begin"/>
            <w:instrText xml:space="preserve">PAGE</w:instrText>
            <w:fldChar w:fldCharType="separate"/>
            <w:fldChar w:fldCharType="end"/>
          </w:r>
        </w:p>
      </w:tc>
      <w:tc>
        <w:tcPr>
          <w:tcW w:type="dxa" w:w="3000"/>
          <w:tcBorders>
            <w:top w:val="none"/>
            <w:left w:val="none"/>
            <w:bottom w:val="none"/>
            <w:right w:val="none"/>
          </w:tcBorders>
        </w:tcPr>
        <w:p>
          <w:pPr>
            <w:jc w:val="right"/>
          </w:pPr>
          <w:r>
            <w:rPr>
              <w:rFonts w:ascii="Arial" w:cs="Arial" w:eastAsia="Arial" w:hAnsi="Arial"/>
              <w:color w:val="595959"/>
              <w:sz w:val="16"/>
              <w:szCs w:val="16"/>
            </w:rPr>
            <w:t xml:space="preserve">Updated May 4, 2026</w:t>
          </w: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1F4E78" w:sz="4" w:space="4"/>
      </w:pBdr>
      <w:jc w:val="right"/>
    </w:pPr>
    <w:r>
      <w:rPr>
        <w:rFonts w:ascii="Arial" w:cs="Arial" w:eastAsia="Arial" w:hAnsi="Arial"/>
        <w:i/>
        <w:iCs/>
        <w:color w:val="595959"/>
        <w:sz w:val="18"/>
        <w:szCs w:val="18"/>
      </w:rPr>
      <w:t xml:space="preserve">Universal Broadband Access Substantiation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cs="Georgia" w:eastAsia="Georgia" w:hAnsi="Georgia"/>
        <w:color w:val="1A1A1A"/>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Universal Broadband Access Substantiation</dc:title>
  <dc:creator>Jason Robertson</dc:creator>
  <cp:lastModifiedBy>Un-named</cp:lastModifiedBy>
  <cp:revision>1</cp:revision>
  <dcterms:created xsi:type="dcterms:W3CDTF">2026-05-04T23:53:02.989Z</dcterms:created>
  <dcterms:modified xsi:type="dcterms:W3CDTF">2026-05-04T23:53:03.002Z</dcterms:modified>
</cp:coreProperties>
</file>

<file path=docProps/custom.xml><?xml version="1.0" encoding="utf-8"?>
<Properties xmlns="http://schemas.openxmlformats.org/officeDocument/2006/custom-properties" xmlns:vt="http://schemas.openxmlformats.org/officeDocument/2006/docPropsVTypes"/>
</file>