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2800"/>
      </w:pPr>
      <w:r>
        <w:t xml:space="preserve"/>
      </w:r>
    </w:p>
    <w:p>
      <w:pPr>
        <w:spacing w:after="100"/>
        <w:jc w:val="center"/>
      </w:pPr>
      <w:r>
        <w:rPr>
          <w:rFonts w:ascii="Arial" w:cs="Arial" w:eastAsia="Arial" w:hAnsi="Arial"/>
          <w:b/>
          <w:bCs/>
          <w:color w:val="1F4E78"/>
          <w:sz w:val="56"/>
          <w:szCs w:val="56"/>
        </w:rPr>
        <w:t xml:space="preserve">PACKAGE VERSION</w:t>
      </w:r>
    </w:p>
    <w:p>
      <w:pPr>
        <w:spacing w:after="200"/>
        <w:jc w:val="center"/>
      </w:pPr>
      <w:r>
        <w:rPr>
          <w:rFonts w:ascii="Arial" w:cs="Arial" w:eastAsia="Arial" w:hAnsi="Arial"/>
          <w:i/>
          <w:iCs/>
          <w:color w:val="C00000"/>
          <w:sz w:val="28"/>
          <w:szCs w:val="28"/>
        </w:rPr>
        <w:t xml:space="preserve">Manifest, Version History, and Changelog</w:t>
      </w:r>
    </w:p>
    <w:p>
      <w:pPr>
        <w:pBdr>
          <w:bottom w:val="single" w:color="1F4E78" w:sz="18"/>
        </w:pBdr>
        <w:spacing w:after="600"/>
        <w:jc w:val="center"/>
      </w:pPr>
      <w:r>
        <w:t xml:space="preserve"/>
      </w:r>
    </w:p>
    <w:p>
      <w:pPr>
        <w:spacing w:after="200"/>
        <w:jc w:val="center"/>
      </w:pPr>
      <w:r>
        <w:rPr>
          <w:rFonts w:ascii="Georgia" w:cs="Georgia" w:eastAsia="Georgia" w:hAnsi="Georgia"/>
          <w:i/>
          <w:iCs/>
          <w:color w:val="595959"/>
          <w:sz w:val="22"/>
          <w:szCs w:val="22"/>
        </w:rPr>
        <w:t xml:space="preserve">Package Version</w:t>
      </w:r>
    </w:p>
    <w:p>
      <w:pPr>
        <w:spacing w:after="400"/>
        <w:jc w:val="center"/>
      </w:pPr>
      <w:r>
        <w:rPr>
          <w:rFonts w:ascii="Arial" w:cs="Arial" w:eastAsia="Arial" w:hAnsi="Arial"/>
          <w:b/>
          <w:bCs/>
          <w:color w:val="C00000"/>
          <w:sz w:val="96"/>
          <w:szCs w:val="96"/>
        </w:rPr>
        <w:t>3.7.31</w:t>
      </w:r>
    </w:p>
    <w:p>
      <w:pPr>
        <w:spacing w:after="100"/>
        <w:jc w:val="center"/>
      </w:pPr>
      <w:r>
        <w:rPr>
          <w:rFonts w:ascii="Arial" w:cs="Arial" w:eastAsia="Arial" w:hAnsi="Arial"/>
          <w:b/>
          <w:bCs/>
          <w:color w:val="1F4E78"/>
          <w:sz w:val="22"/>
          <w:szCs w:val="22"/>
        </w:rPr>
        <w:t>Released  May 6, 2026</w:t>
      </w:r>
    </w:p>
    <w:p>
      <w:pPr>
        <w:spacing w:after="1200"/>
        <w:jc w:val="center"/>
      </w:pPr>
      <w:r>
        <w:rPr>
          <w:rFonts w:ascii="Georgia" w:cs="Georgia" w:eastAsia="Georgia" w:hAnsi="Georgia"/>
          <w:i/>
          <w:iCs/>
          <w:color w:val="595959"/>
          <w:sz w:val="18"/>
          <w:szCs w:val="18"/>
        </w:rPr>
        <w:t>101 documents and models  ·  Slideshow in two formats</w:t>
      </w:r>
    </w:p>
    <w:p>
      <w:pPr>
        <w:spacing w:before="1200"/>
      </w:pPr>
      <w:r>
        <w:t xml:space="preserve"/>
      </w:r>
    </w:p>
    <w:p>
      <w:pPr>
        <w:spacing w:before="1200"/>
      </w:pPr>
      <w:r>
        <w:t>Document version: v1.161  ·  Updated May 6, 2026 for v3.7.21  ·  Updated May 11, 2026 for v3.7.22 (comprehensive review cycle: item-number reference cleanup at scale, Platform Browser Index link repair, calculator content cleanup, catalog description cleanup, WTMFY paragraph 32 contradiction resolved, calculator accuracy finding deferred to PROCESS-4)  ·  Updated May 12, 2026 for v3.7.23 (Option E adopted: calculator restructured to display employee/employer/combined per pillar; canonical-statement contradictions repaired across WTMFY/DTRT/CVR; OIR Section 130 added; PROCESS-4 closed)  ·  Updated May 12, 2026 for v3.7.24 (Narrative-Refactor and Value-Audit: Option E rollout completed across worked-example tables and narrative paragraphs; three confirmed value-errors fixed; OIR Section 131 added)  ·  Updated May 12, 2026 for v3.7.25 (Platform Browser Index hosting prep: Platform Root filter pill removed, American flag SVG background, SEO/social meta tags, favicon, skip-link, print stylesheet)  ·  Updated May 12, 2026 for v3.7.26 (Hosting-Ready Deployment Package: DOCX→HTML build pipeline, About/Contact/Privacy pages, hosting guide, social preview, analytics placeholder)  ·  Updated May 12, 2026 for v3.7.27 (Curated Download Packages: 24 pre-built ZIPs, per-card download icons, set-download bar, downloads.html landing page)  ·  Updated May 12, 2026 for v3.7.28 (MAINTENANCE_GUIDE.md added — comprehensive maintainer reference)  ·  Updated May 12, 2026 for v3.7.29 (Build script preflight checks: pandoc-availability check + platform-specific install instructions)  ·  Updated May 12, 2026 for v3.7.30 (Photographic flag background; root index.html redirect)  ·  Updated May 12, 2026 for v3.7.31 (5 user-reported site issues fixed)</w:t>
      </w:r>
    </w:p>
    <w:p>
      <w:pPr>
        <w:spacing w:after="80"/>
        <w:jc w:val="center"/>
      </w:pPr>
      <w:r>
        <w:rPr>
          <w:rFonts w:ascii="Georgia" w:cs="Georgia" w:eastAsia="Georgia" w:hAnsi="Georgia"/>
          <w:i/>
          <w:iCs/>
          <w:color w:val="595959"/>
          <w:sz w:val="22"/>
          <w:szCs w:val="22"/>
        </w:rPr>
        <w:t xml:space="preserve">We The People — Platform Package</w:t>
      </w:r>
    </w:p>
    <w:p>
      <w:pPr>
        <w:spacing w:after="80"/>
        <w:jc w:val="center"/>
      </w:pPr>
      <w:r>
        <w:rPr>
          <w:rFonts w:ascii="Georgia" w:cs="Georgia" w:eastAsia="Georgia" w:hAnsi="Georgia"/>
          <w:b/>
          <w:bCs/>
          <w:color w:val="1A1A1A"/>
          <w:sz w:val="24"/>
          <w:szCs w:val="24"/>
        </w:rPr>
        <w:t xml:space="preserve">Jason Robertson</w:t>
      </w:r>
    </w:p>
    <w:p>
      <w:pPr>
        <w:jc w:val="center"/>
      </w:pPr>
      <w:r>
        <w:rPr>
          <w:rFonts w:ascii="Georgia" w:cs="Georgia" w:eastAsia="Georgia" w:hAnsi="Georgia"/>
          <w:color w:val="595959"/>
          <w:sz w:val="20"/>
          <w:szCs w:val="20"/>
        </w:rPr>
        <w:t xml:space="preserve">Ohio  ·  2026</w:t>
      </w:r>
    </w:p>
    <w:p>
      <w:r>
        <w:br w:type="page"/>
      </w:r>
    </w:p>
    <w:p>
      <w:pPr>
        <w:pStyle w:val="Heading1"/>
        <w:spacing w:after="240" w:before="480"/>
      </w:pPr>
      <w:r>
        <w:rPr>
          <w:rFonts w:ascii="Arial" w:cs="Arial" w:eastAsia="Arial" w:hAnsi="Arial"/>
          <w:b/>
          <w:bCs/>
          <w:color w:val="1F4E78"/>
          <w:sz w:val="36"/>
          <w:szCs w:val="36"/>
        </w:rPr>
        <w:t xml:space="preserve">How Versioning Works</w:t>
      </w:r>
    </w:p>
    <w:p>
      <w:pPr>
        <w:spacing w:after="240" w:line="340"/>
        <w:jc w:val="both"/>
      </w:pPr>
      <w:r>
        <w:rPr>
          <w:rFonts w:ascii="Georgia" w:cs="Georgia" w:eastAsia="Georgia" w:hAnsi="Georgia"/>
          <w:color w:val="1A1A1A"/>
          <w:sz w:val="24"/>
          <w:szCs w:val="24"/>
        </w:rPr>
        <w:t xml:space="preserve">The platform package uses semantic versioning adapted for documents. Both the package as a whole and each document within it carry version numbers, allowing readers to verify they have the current version and giving the platform a way to track refinements as the work evolves.</w:t>
      </w:r>
    </w:p>
    <w:p>
      <w:pPr>
        <w:pStyle w:val="Heading3"/>
        <w:spacing w:after="120" w:before="240"/>
      </w:pPr>
      <w:r>
        <w:rPr>
          <w:rFonts w:ascii="Arial" w:cs="Arial" w:eastAsia="Arial" w:hAnsi="Arial"/>
          <w:b/>
          <w:bCs/>
          <w:color w:val="C00000"/>
          <w:sz w:val="22"/>
          <w:szCs w:val="22"/>
        </w:rPr>
        <w:t xml:space="preserve">Package Version</w:t>
      </w:r>
    </w:p>
    <w:p>
      <w:pPr>
        <w:spacing w:after="200" w:line="320"/>
        <w:jc w:val="both"/>
      </w:pPr>
      <w:r>
        <w:rPr>
          <w:rFonts w:ascii="Georgia" w:cs="Georgia" w:eastAsia="Georgia" w:hAnsi="Georgia"/>
          <w:color w:val="1A1A1A"/>
          <w:sz w:val="22"/>
          <w:szCs w:val="22"/>
        </w:rPr>
        <w:t xml:space="preserve">The package version is the version of the entire collection. It increments according to the following pattern:</w:t>
      </w:r>
    </w:p>
    <w:p>
      <w:pPr>
        <w:spacing w:after="200" w:line="320"/>
        <w:jc w:val="both"/>
      </w:pPr>
      <w:r>
        <w:rPr>
          <w:rFonts w:ascii="Georgia" w:cs="Georgia" w:eastAsia="Georgia" w:hAnsi="Georgia"/>
          <w:b/>
          <w:bCs/>
          <w:sz w:val="22"/>
          <w:szCs w:val="22"/>
        </w:rPr>
        <w:t xml:space="preserve">Major version (e.g., 1.0 → 2.0). </w:t>
      </w:r>
      <w:r>
        <w:rPr>
          <w:rFonts w:ascii="Georgia" w:cs="Georgia" w:eastAsia="Georgia" w:hAnsi="Georgia"/>
          <w:color w:val="1A1A1A"/>
          <w:sz w:val="22"/>
          <w:szCs w:val="22"/>
        </w:rPr>
        <w:t xml:space="preserve">Increments when the package undergoes structural changes — new pillars added at primary status, fundamental architectural revisions, or substantial reorganization of the package contents. Major version changes signal that readers familiar with the previous version should expect to encounter substantively different content.</w:t>
      </w:r>
    </w:p>
    <w:p>
      <w:pPr>
        <w:spacing w:after="200" w:line="320"/>
        <w:jc w:val="both"/>
      </w:pPr>
      <w:r>
        <w:rPr>
          <w:rFonts w:ascii="Georgia" w:cs="Georgia" w:eastAsia="Georgia" w:hAnsi="Georgia"/>
          <w:b/>
          <w:bCs/>
          <w:sz w:val="22"/>
          <w:szCs w:val="22"/>
        </w:rPr>
        <w:t xml:space="preserve">Minor version (e.g., 1.0 → 1.1). </w:t>
      </w:r>
      <w:r>
        <w:rPr>
          <w:rFonts w:ascii="Georgia" w:cs="Georgia" w:eastAsia="Georgia" w:hAnsi="Georgia"/>
          <w:color w:val="1A1A1A"/>
          <w:sz w:val="22"/>
          <w:szCs w:val="22"/>
        </w:rPr>
        <w:t xml:space="preserve">Increments when documents are added, removed, or substantially refined within the existing architecture. Minor version changes indicate meaningful updates that don't reshape the package's overall structure but do change what readers will encounter in specific documents.</w:t>
      </w:r>
    </w:p>
    <w:p>
      <w:pPr>
        <w:pStyle w:val="Heading3"/>
        <w:spacing w:after="120" w:before="240"/>
      </w:pPr>
      <w:r>
        <w:rPr>
          <w:rFonts w:ascii="Arial" w:cs="Arial" w:eastAsia="Arial" w:hAnsi="Arial"/>
          <w:b/>
          <w:bCs/>
          <w:color w:val="C00000"/>
          <w:sz w:val="22"/>
          <w:szCs w:val="22"/>
        </w:rPr>
        <w:t xml:space="preserve">Document Version</w:t>
      </w:r>
    </w:p>
    <w:p>
      <w:pPr>
        <w:spacing w:after="200" w:line="320"/>
        <w:jc w:val="both"/>
      </w:pPr>
      <w:r>
        <w:rPr>
          <w:rFonts w:ascii="Georgia" w:cs="Georgia" w:eastAsia="Georgia" w:hAnsi="Georgia"/>
          <w:color w:val="1A1A1A"/>
          <w:sz w:val="22"/>
          <w:szCs w:val="22"/>
        </w:rPr>
        <w:t xml:space="preserve">Each document carries its own version number, visible on the cover page and in the page footer of every document. Document versions follow the same major.minor pattern:</w:t>
      </w:r>
    </w:p>
    <w:p>
      <w:pPr>
        <w:spacing w:after="200" w:line="320"/>
        <w:jc w:val="both"/>
      </w:pPr>
      <w:r>
        <w:rPr>
          <w:rFonts w:ascii="Georgia" w:cs="Georgia" w:eastAsia="Georgia" w:hAnsi="Georgia"/>
          <w:b/>
          <w:bCs/>
          <w:sz w:val="22"/>
          <w:szCs w:val="22"/>
        </w:rPr>
        <w:t xml:space="preserve">Major version. </w:t>
      </w:r>
      <w:r>
        <w:rPr>
          <w:rFonts w:ascii="Georgia" w:cs="Georgia" w:eastAsia="Georgia" w:hAnsi="Georgia"/>
          <w:color w:val="1A1A1A"/>
          <w:sz w:val="22"/>
          <w:szCs w:val="22"/>
        </w:rPr>
        <w:t xml:space="preserve">Increments when the document undergoes substantial revision — architectural changes to the underlying pillar, structural reorganization of the document's argument, or replacement of significant analytical claims with substantively different ones.</w:t>
      </w:r>
    </w:p>
    <w:p>
      <w:pPr>
        <w:spacing w:after="200" w:line="320"/>
        <w:jc w:val="both"/>
      </w:pPr>
      <w:r>
        <w:rPr>
          <w:rFonts w:ascii="Georgia" w:cs="Georgia" w:eastAsia="Georgia" w:hAnsi="Georgia"/>
          <w:b/>
          <w:bCs/>
          <w:sz w:val="22"/>
          <w:szCs w:val="22"/>
        </w:rPr>
        <w:t xml:space="preserve">Minor version. </w:t>
      </w:r>
      <w:r>
        <w:rPr>
          <w:rFonts w:ascii="Georgia" w:cs="Georgia" w:eastAsia="Georgia" w:hAnsi="Georgia"/>
          <w:color w:val="1A1A1A"/>
          <w:sz w:val="22"/>
          <w:szCs w:val="22"/>
        </w:rPr>
        <w:t xml:space="preserve">Increments when the document is updated to add new sections, refine specific claims, correct errors, or improve presentation. Minor version updates within a document don't change its overall structure or core claims.</w:t>
      </w:r>
    </w:p>
    <w:p>
      <w:pPr>
        <w:pStyle w:val="Heading3"/>
        <w:spacing w:after="120" w:before="240"/>
      </w:pPr>
      <w:r>
        <w:rPr>
          <w:rFonts w:ascii="Arial" w:cs="Arial" w:eastAsia="Arial" w:hAnsi="Arial"/>
          <w:b/>
          <w:bCs/>
          <w:color w:val="C00000"/>
          <w:sz w:val="22"/>
          <w:szCs w:val="22"/>
        </w:rPr>
        <w:t xml:space="preserve">Where Version Information Appears</w:t>
      </w:r>
    </w:p>
    <w:p>
      <w:pPr>
        <w:spacing w:after="200" w:line="320"/>
        <w:jc w:val="both"/>
      </w:pPr>
      <w:r>
        <w:rPr>
          <w:rFonts w:ascii="Georgia" w:cs="Georgia" w:eastAsia="Georgia" w:hAnsi="Georgia"/>
          <w:color w:val="1A1A1A"/>
          <w:sz w:val="22"/>
          <w:szCs w:val="22"/>
        </w:rPr>
        <w:t xml:space="preserve">Each document displays its version information in two locations. The cover page shows the version number, creation date, and last update date below the byline. The page footer shows the document title (short form), version number, current page number, and last update date — visible on every page so readers always know what they're reading.</w:t>
      </w:r>
    </w:p>
    <w:p>
      <w:pPr>
        <w:spacing w:after="200" w:line="320"/>
        <w:jc w:val="both"/>
      </w:pPr>
      <w:r>
        <w:rPr>
          <w:rFonts w:ascii="Georgia" w:cs="Georgia" w:eastAsia="Georgia" w:hAnsi="Georgia"/>
          <w:color w:val="1A1A1A"/>
          <w:sz w:val="22"/>
          <w:szCs w:val="22"/>
        </w:rPr>
        <w:t xml:space="preserve">This document, the Package Version document, additionally tracks the version history of every document in the package, the changelog for the package as a whole, and the manifest of all materials currently included.</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2EFE9" w:val="clear"/>
            <w:tcMar>
              <w:top w:type="dxa" w:w="200"/>
              <w:left w:type="dxa" w:w="280"/>
              <w:bottom w:type="dxa" w:w="200"/>
              <w:right w:type="dxa" w:w="280"/>
            </w:tcMar>
          </w:tcPr>
          <w:p>
            <w:pPr>
              <w:spacing w:line="300"/>
            </w:pPr>
            <w:r>
              <w:rPr>
                <w:rFonts w:ascii="Georgia" w:cs="Georgia" w:eastAsia="Georgia" w:hAnsi="Georgia"/>
                <w:i/>
                <w:iCs/>
                <w:color w:val="1A1A1A"/>
                <w:sz w:val="22"/>
                <w:szCs w:val="22"/>
              </w:rPr>
              <w:t xml:space="preserve">If you are reading any document from the platform package, the version information at the bottom of every page tells you what you have. If you are unsure whether you have the current version, this document is the authoritative source for what's current.</w:t>
            </w:r>
          </w:p>
        </w:tc>
      </w:tr>
    </w:tbl>
    <w:p>
      <w:r>
        <w:br w:type="page"/>
      </w:r>
    </w:p>
    <w:p>
      <w:pPr>
        <w:pStyle w:val="Heading1"/>
        <w:spacing w:after="240" w:before="480"/>
      </w:pPr>
      <w:r>
        <w:rPr>
          <w:rFonts w:ascii="Arial" w:cs="Arial" w:eastAsia="Arial" w:hAnsi="Arial"/>
          <w:b/>
          <w:bCs/>
          <w:color w:val="1F4E78"/>
          <w:sz w:val="36"/>
          <w:szCs w:val="36"/>
        </w:rPr>
        <w:t xml:space="preserve">Complete Package Manifest</w:t>
      </w:r>
    </w:p>
    <w:p>
      <w:pPr>
        <w:spacing w:after="240" w:line="340"/>
        <w:jc w:val="both"/>
      </w:pPr>
      <w:r>
        <w:rPr>
          <w:rFonts w:ascii="Georgia" w:cs="Georgia" w:eastAsia="Georgia" w:hAnsi="Georgia"/>
          <w:color w:val="1A1A1A"/>
          <w:sz w:val="24"/>
          <w:szCs w:val="24"/>
        </w:rPr>
        <w:t xml:space="preserve">The following table lists every document and model in the platform package as of the package version above. Each entry shows the document's filename, current version, creation date, and last update date.</w:t>
      </w:r>
    </w:p>
    <w:p>
      <w:pPr>
        <w:spacing w:after="200"/>
      </w:pPr>
      <w:r>
        <w:t xml:space="preserve"/>
      </w:r>
    </w:p>
    <w:p>
      <w:pPr>
        <w:pStyle w:val="Heading3"/>
        <w:spacing w:after="120" w:before="240"/>
      </w:pPr>
      <w:r>
        <w:rPr>
          <w:rFonts w:ascii="Arial" w:cs="Arial" w:eastAsia="Arial" w:hAnsi="Arial"/>
          <w:b/>
          <w:bCs/>
          <w:color w:val="C00000"/>
          <w:sz w:val="22"/>
          <w:szCs w:val="22"/>
        </w:rPr>
        <w:t xml:space="preserve">Vision and Communication Documents</w:t>
      </w:r>
    </w:p>
    <w:p>
      <w:pPr>
        <w:spacing w:after="10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3700"/>
        <w:gridCol w:w="1100"/>
        <w:gridCol w:w="1900"/>
        <w:gridCol w:w="2300"/>
      </w:tblGrid>
      <w:tr>
        <w:tc>
          <w:tcPr>
            <w:tcW w:type="dxa" w:w="3700"/>
            <w:tcBorders>
              <w:top w:val="single" w:color="BFBFBF" w:sz="4"/>
              <w:left w:val="single" w:color="BFBFBF" w:sz="4"/>
              <w:bottom w:val="single" w:color="BFBFBF" w:sz="4"/>
              <w:right w:val="single" w:color="BFBFBF" w:sz="4"/>
            </w:tcBorders>
            <w:shd w:fill="1F4E78" w:val="clear"/>
            <w:tcMar>
              <w:top w:type="dxa" w:w="80"/>
              <w:left w:type="dxa" w:w="120"/>
              <w:bottom w:type="dxa" w:w="80"/>
              <w:right w:type="dxa" w:w="120"/>
            </w:tcMar>
          </w:tcPr>
          <w:p>
            <w:pPr>
              <w:jc w:val="left"/>
            </w:pPr>
            <w:r>
              <w:rPr>
                <w:rFonts w:ascii="Georgia" w:cs="Georgia" w:eastAsia="Georgia" w:hAnsi="Georgia"/>
                <w:b/>
                <w:bCs/>
                <w:color w:val="FFFFFF"/>
                <w:sz w:val="18"/>
                <w:szCs w:val="18"/>
              </w:rPr>
              <w:t xml:space="preserve">Document / File</w:t>
            </w:r>
          </w:p>
        </w:tc>
        <w:tc>
          <w:tcPr>
            <w:tcW w:type="dxa" w:w="1100"/>
            <w:tcBorders>
              <w:top w:val="single" w:color="BFBFBF" w:sz="4"/>
              <w:left w:val="single" w:color="BFBFBF" w:sz="4"/>
              <w:bottom w:val="single" w:color="BFBFBF" w:sz="4"/>
              <w:right w:val="single" w:color="BFBFBF" w:sz="4"/>
            </w:tcBorders>
            <w:shd w:fill="1F4E78" w:val="clear"/>
            <w:tcMar>
              <w:top w:type="dxa" w:w="80"/>
              <w:left w:type="dxa" w:w="120"/>
              <w:bottom w:type="dxa" w:w="80"/>
              <w:right w:type="dxa" w:w="120"/>
            </w:tcMar>
          </w:tcPr>
          <w:p>
            <w:pPr>
              <w:jc w:val="left"/>
            </w:pPr>
            <w:r>
              <w:rPr>
                <w:rFonts w:ascii="Georgia" w:cs="Georgia" w:eastAsia="Georgia" w:hAnsi="Georgia"/>
                <w:b/>
                <w:bCs/>
                <w:color w:val="FFFFFF"/>
                <w:sz w:val="18"/>
                <w:szCs w:val="18"/>
              </w:rPr>
              <w:t xml:space="preserve">Version</w:t>
            </w:r>
          </w:p>
        </w:tc>
        <w:tc>
          <w:tcPr>
            <w:tcW w:type="dxa" w:w="1900"/>
            <w:tcBorders>
              <w:top w:val="single" w:color="BFBFBF" w:sz="4"/>
              <w:left w:val="single" w:color="BFBFBF" w:sz="4"/>
              <w:bottom w:val="single" w:color="BFBFBF" w:sz="4"/>
              <w:right w:val="single" w:color="BFBFBF" w:sz="4"/>
            </w:tcBorders>
            <w:shd w:fill="1F4E78" w:val="clear"/>
            <w:tcMar>
              <w:top w:type="dxa" w:w="80"/>
              <w:left w:type="dxa" w:w="120"/>
              <w:bottom w:type="dxa" w:w="80"/>
              <w:right w:type="dxa" w:w="120"/>
            </w:tcMar>
          </w:tcPr>
          <w:p>
            <w:pPr>
              <w:jc w:val="left"/>
            </w:pPr>
            <w:r>
              <w:rPr>
                <w:rFonts w:ascii="Georgia" w:cs="Georgia" w:eastAsia="Georgia" w:hAnsi="Georgia"/>
                <w:b/>
                <w:bCs/>
                <w:color w:val="FFFFFF"/>
                <w:sz w:val="18"/>
                <w:szCs w:val="18"/>
              </w:rPr>
              <w:t xml:space="preserve">Created</w:t>
            </w:r>
          </w:p>
        </w:tc>
        <w:tc>
          <w:tcPr>
            <w:tcW w:type="dxa" w:w="2300"/>
            <w:tcBorders>
              <w:top w:val="single" w:color="BFBFBF" w:sz="4"/>
              <w:left w:val="single" w:color="BFBFBF" w:sz="4"/>
              <w:bottom w:val="single" w:color="BFBFBF" w:sz="4"/>
              <w:right w:val="single" w:color="BFBFBF" w:sz="4"/>
            </w:tcBorders>
            <w:shd w:fill="1F4E78" w:val="clear"/>
            <w:tcMar>
              <w:top w:type="dxa" w:w="80"/>
              <w:left w:type="dxa" w:w="120"/>
              <w:bottom w:type="dxa" w:w="80"/>
              <w:right w:type="dxa" w:w="120"/>
            </w:tcMar>
          </w:tcPr>
          <w:p>
            <w:pPr>
              <w:jc w:val="left"/>
            </w:pPr>
            <w:r>
              <w:rPr>
                <w:rFonts w:ascii="Georgia" w:cs="Georgia" w:eastAsia="Georgia" w:hAnsi="Georgia"/>
                <w:b/>
                <w:bCs/>
                <w:color w:val="FFFFFF"/>
                <w:sz w:val="18"/>
                <w:szCs w:val="18"/>
              </w:rPr>
              <w:t xml:space="preserve">Last Updated</w:t>
            </w:r>
          </w:p>
        </w:tc>
      </w:tr>
      <w:tr>
        <w:tc>
          <w:tcPr>
            <w:tcW w:type="dxa" w:w="37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bCs/>
                <w:color w:val="1A1A1A"/>
                <w:sz w:val="19"/>
                <w:szCs w:val="19"/>
              </w:rPr>
              <w:t xml:space="preserve">Platform Manifesto
02_We_The_People_Platform.docx</w:t>
            </w:r>
          </w:p>
        </w:tc>
        <w:tc>
          <w:tcPr>
            <w:tcW w:type="dxa" w:w="11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v2.12</w:t>
            </w:r>
          </w:p>
        </w:tc>
        <w:tc>
          <w:tcPr>
            <w:tcW w:type="dxa" w:w="19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April 2026</w:t>
            </w:r>
          </w:p>
        </w:tc>
        <w:tc>
          <w:tcPr>
            <w:tcW w:type="dxa" w:w="23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6,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bCs/>
                <w:color w:val="1A1A1A"/>
                <w:sz w:val="19"/>
                <w:szCs w:val="19"/>
              </w:rPr>
              <w:t xml:space="preserve">Adjacent Pillars
02_Adjacent_Pillars_Under_Development.docx</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v2.2</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April 2026</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6, 2026</w:t>
            </w:r>
          </w:p>
        </w:tc>
      </w:tr>
      <w:tr>
        <w:tc>
          <w:tcPr>
            <w:tcW w:type="dxa" w:w="37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bCs/>
                <w:color w:val="1A1A1A"/>
                <w:sz w:val="19"/>
                <w:szCs w:val="19"/>
              </w:rPr>
              <w:t xml:space="preserve">Civic Infrastructure Pillar
02_Civic_Infrastructure_Pillar.docx</w:t>
            </w:r>
          </w:p>
        </w:tc>
        <w:tc>
          <w:tcPr>
            <w:tcW w:type="dxa" w:w="11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v2.3</w:t>
            </w:r>
          </w:p>
        </w:tc>
        <w:tc>
          <w:tcPr>
            <w:tcW w:type="dxa" w:w="19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April 2026</w:t>
            </w:r>
          </w:p>
        </w:tc>
        <w:tc>
          <w:tcPr>
            <w:tcW w:type="dxa" w:w="23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5, 2026</w:t>
            </w:r>
          </w:p>
        </w:tc>
      </w:tr>
      <w:tr>
        <w:tc>
          <w:tcPr>
            <w:tcW w:type="dxa" w:w="37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bCs/>
                <w:color w:val="1A1A1A"/>
                <w:sz w:val="19"/>
                <w:szCs w:val="19"/>
              </w:rPr>
              <w:t>Pillar Eight: Universal Paid Family Time</w:t>
              <w:br/>
              <w:t>02_Universal_Paid_Family_Time_Pillar.docx</w:t>
            </w:r>
          </w:p>
        </w:tc>
        <w:tc>
          <w:tcPr>
            <w:tcW w:type="dxa" w:w="11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v1.0</w:t>
            </w:r>
          </w:p>
        </w:tc>
        <w:tc>
          <w:tcPr>
            <w:tcW w:type="dxa" w:w="19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7, 2026</w:t>
            </w:r>
          </w:p>
        </w:tc>
        <w:tc>
          <w:tcPr>
            <w:tcW w:type="dxa" w:w="23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7,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bCs/>
                <w:color w:val="1A1A1A"/>
                <w:sz w:val="19"/>
                <w:szCs w:val="19"/>
              </w:rPr>
              <w:t xml:space="preserve">Built For What's Coming
02_Built_For_Whats_Coming.docx</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v1.0</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April 2026</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May 3, 2026</w:t>
            </w:r>
          </w:p>
        </w:tc>
      </w:tr>
      <w:tr>
        <w:tc>
          <w:tcPr>
            <w:tcW w:type="dxa" w:w="37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bCs/>
                <w:color w:val="1A1A1A"/>
                <w:sz w:val="19"/>
                <w:szCs w:val="19"/>
              </w:rPr>
              <w:t xml:space="preserve">The Founding Stake
02_The_Founding_Stake.docx</w:t>
            </w:r>
          </w:p>
        </w:tc>
        <w:tc>
          <w:tcPr>
            <w:tcW w:type="dxa" w:w="11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v1.0</w:t>
            </w:r>
          </w:p>
        </w:tc>
        <w:tc>
          <w:tcPr>
            <w:tcW w:type="dxa" w:w="19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April 2026</w:t>
            </w:r>
          </w:p>
        </w:tc>
        <w:tc>
          <w:tcPr>
            <w:tcW w:type="dxa" w:w="23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May 3,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bCs/>
                <w:color w:val="1A1A1A"/>
                <w:sz w:val="19"/>
                <w:szCs w:val="19"/>
              </w:rPr>
              <w:t xml:space="preserve">Future Capacity Fund
02_Future_Capacity_Fund.docx</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v1.0</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April 2026</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May 3, 2026</w:t>
            </w:r>
          </w:p>
        </w:tc>
      </w:tr>
      <w:tr>
        <w:tc>
          <w:tcPr>
            <w:tcW w:type="dxa" w:w="37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bCs/>
                <w:color w:val="1A1A1A"/>
                <w:sz w:val="19"/>
                <w:szCs w:val="19"/>
              </w:rPr>
              <w:t xml:space="preserve">Wage Floor Concept Analysis v0.2
02_Wage_Floor_Concept_Analysis_v02.docx</w:t>
            </w:r>
          </w:p>
        </w:tc>
        <w:tc>
          <w:tcPr>
            <w:tcW w:type="dxa" w:w="11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v1.0</w:t>
            </w:r>
          </w:p>
        </w:tc>
        <w:tc>
          <w:tcPr>
            <w:tcW w:type="dxa" w:w="19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April 2026</w:t>
            </w:r>
          </w:p>
        </w:tc>
        <w:tc>
          <w:tcPr>
            <w:tcW w:type="dxa" w:w="23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May 3,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bCs/>
                <w:color w:val="1A1A1A"/>
                <w:sz w:val="19"/>
                <w:szCs w:val="19"/>
              </w:rPr>
              <w:t xml:space="preserve">Constituent Letter
02_Constituent_Letter.docx</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v2.7</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April 2026</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6,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bCs/>
                <w:color w:val="1A1A1A"/>
                <w:sz w:val="19"/>
                <w:szCs w:val="19"/>
              </w:rPr>
              <w:t>Informed Citizenship</w:t>
              <w:br/>
              <w:t>02_Informed_Citizenship_Pillar.docx</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v2.0</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April 2026</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5, 2026</w:t>
            </w:r>
          </w:p>
        </w:tc>
      </w:tr>
    </w:tbl>
    <w:p>
      <w:pPr>
        <w:spacing w:after="300"/>
      </w:pPr>
      <w:r>
        <w:t xml:space="preserve"/>
      </w:r>
    </w:p>
    <w:p>
      <w:pPr>
        <w:pStyle w:val="Heading3"/>
        <w:spacing w:after="120" w:before="240"/>
      </w:pPr>
      <w:r>
        <w:rPr>
          <w:rFonts w:ascii="Arial" w:cs="Arial" w:eastAsia="Arial" w:hAnsi="Arial"/>
          <w:b/>
          <w:bCs/>
          <w:color w:val="C00000"/>
          <w:sz w:val="22"/>
          <w:szCs w:val="22"/>
        </w:rPr>
        <w:t xml:space="preserve">Technical White Papers</w:t>
      </w:r>
    </w:p>
    <w:p>
      <w:pPr>
        <w:spacing w:after="10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3700"/>
        <w:gridCol w:w="1100"/>
        <w:gridCol w:w="1900"/>
        <w:gridCol w:w="2300"/>
      </w:tblGrid>
      <w:tr>
        <w:tc>
          <w:tcPr>
            <w:tcW w:type="dxa" w:w="3700"/>
            <w:tcBorders>
              <w:top w:val="single" w:color="BFBFBF" w:sz="4"/>
              <w:left w:val="single" w:color="BFBFBF" w:sz="4"/>
              <w:bottom w:val="single" w:color="BFBFBF" w:sz="4"/>
              <w:right w:val="single" w:color="BFBFBF" w:sz="4"/>
            </w:tcBorders>
            <w:shd w:fill="1F4E78" w:val="clear"/>
            <w:tcMar>
              <w:top w:type="dxa" w:w="80"/>
              <w:left w:type="dxa" w:w="120"/>
              <w:bottom w:type="dxa" w:w="80"/>
              <w:right w:type="dxa" w:w="120"/>
            </w:tcMar>
          </w:tcPr>
          <w:p>
            <w:pPr>
              <w:jc w:val="left"/>
            </w:pPr>
            <w:r>
              <w:rPr>
                <w:rFonts w:ascii="Georgia" w:cs="Georgia" w:eastAsia="Georgia" w:hAnsi="Georgia"/>
                <w:b/>
                <w:bCs/>
                <w:color w:val="FFFFFF"/>
                <w:sz w:val="18"/>
                <w:szCs w:val="18"/>
              </w:rPr>
              <w:t xml:space="preserve">Document / File</w:t>
            </w:r>
          </w:p>
        </w:tc>
        <w:tc>
          <w:tcPr>
            <w:tcW w:type="dxa" w:w="1100"/>
            <w:tcBorders>
              <w:top w:val="single" w:color="BFBFBF" w:sz="4"/>
              <w:left w:val="single" w:color="BFBFBF" w:sz="4"/>
              <w:bottom w:val="single" w:color="BFBFBF" w:sz="4"/>
              <w:right w:val="single" w:color="BFBFBF" w:sz="4"/>
            </w:tcBorders>
            <w:shd w:fill="1F4E78" w:val="clear"/>
            <w:tcMar>
              <w:top w:type="dxa" w:w="80"/>
              <w:left w:type="dxa" w:w="120"/>
              <w:bottom w:type="dxa" w:w="80"/>
              <w:right w:type="dxa" w:w="120"/>
            </w:tcMar>
          </w:tcPr>
          <w:p>
            <w:pPr>
              <w:jc w:val="left"/>
            </w:pPr>
            <w:r>
              <w:rPr>
                <w:rFonts w:ascii="Georgia" w:cs="Georgia" w:eastAsia="Georgia" w:hAnsi="Georgia"/>
                <w:b/>
                <w:bCs/>
                <w:color w:val="FFFFFF"/>
                <w:sz w:val="18"/>
                <w:szCs w:val="18"/>
              </w:rPr>
              <w:t xml:space="preserve">Version</w:t>
            </w:r>
          </w:p>
        </w:tc>
        <w:tc>
          <w:tcPr>
            <w:tcW w:type="dxa" w:w="1900"/>
            <w:tcBorders>
              <w:top w:val="single" w:color="BFBFBF" w:sz="4"/>
              <w:left w:val="single" w:color="BFBFBF" w:sz="4"/>
              <w:bottom w:val="single" w:color="BFBFBF" w:sz="4"/>
              <w:right w:val="single" w:color="BFBFBF" w:sz="4"/>
            </w:tcBorders>
            <w:shd w:fill="1F4E78" w:val="clear"/>
            <w:tcMar>
              <w:top w:type="dxa" w:w="80"/>
              <w:left w:type="dxa" w:w="120"/>
              <w:bottom w:type="dxa" w:w="80"/>
              <w:right w:type="dxa" w:w="120"/>
            </w:tcMar>
          </w:tcPr>
          <w:p>
            <w:pPr>
              <w:jc w:val="left"/>
            </w:pPr>
            <w:r>
              <w:rPr>
                <w:rFonts w:ascii="Georgia" w:cs="Georgia" w:eastAsia="Georgia" w:hAnsi="Georgia"/>
                <w:b/>
                <w:bCs/>
                <w:color w:val="FFFFFF"/>
                <w:sz w:val="18"/>
                <w:szCs w:val="18"/>
              </w:rPr>
              <w:t xml:space="preserve">Created</w:t>
            </w:r>
          </w:p>
        </w:tc>
        <w:tc>
          <w:tcPr>
            <w:tcW w:type="dxa" w:w="2300"/>
            <w:tcBorders>
              <w:top w:val="single" w:color="BFBFBF" w:sz="4"/>
              <w:left w:val="single" w:color="BFBFBF" w:sz="4"/>
              <w:bottom w:val="single" w:color="BFBFBF" w:sz="4"/>
              <w:right w:val="single" w:color="BFBFBF" w:sz="4"/>
            </w:tcBorders>
            <w:shd w:fill="1F4E78" w:val="clear"/>
            <w:tcMar>
              <w:top w:type="dxa" w:w="80"/>
              <w:left w:type="dxa" w:w="120"/>
              <w:bottom w:type="dxa" w:w="80"/>
              <w:right w:type="dxa" w:w="120"/>
            </w:tcMar>
          </w:tcPr>
          <w:p>
            <w:pPr>
              <w:jc w:val="left"/>
            </w:pPr>
            <w:r>
              <w:rPr>
                <w:rFonts w:ascii="Georgia" w:cs="Georgia" w:eastAsia="Georgia" w:hAnsi="Georgia"/>
                <w:b/>
                <w:bCs/>
                <w:color w:val="FFFFFF"/>
                <w:sz w:val="18"/>
                <w:szCs w:val="18"/>
              </w:rPr>
              <w:t xml:space="preserve">Last Updated</w:t>
            </w:r>
          </w:p>
        </w:tc>
      </w:tr>
      <w:tr>
        <w:tc>
          <w:tcPr>
            <w:tcW w:type="dxa" w:w="37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bCs/>
                <w:color w:val="1A1A1A"/>
                <w:sz w:val="19"/>
                <w:szCs w:val="19"/>
              </w:rPr>
              <w:t xml:space="preserve">Community Contribution Plan
03_Community_Contribution_Plan_WhitePaper.docx</w:t>
            </w:r>
          </w:p>
        </w:tc>
        <w:tc>
          <w:tcPr>
            <w:tcW w:type="dxa" w:w="11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v1.1</w:t>
            </w:r>
          </w:p>
        </w:tc>
        <w:tc>
          <w:tcPr>
            <w:tcW w:type="dxa" w:w="19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April 2026</w:t>
            </w:r>
          </w:p>
        </w:tc>
        <w:tc>
          <w:tcPr>
            <w:tcW w:type="dxa" w:w="23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May 3, 2026</w:t>
            </w:r>
          </w:p>
        </w:tc>
      </w:tr>
    </w:tbl>
    <w:p>
      <w:r>
        <w:br w:type="page"/>
      </w:r>
    </w:p>
    <w:p>
      <w:pPr>
        <w:pStyle w:val="Heading3"/>
        <w:spacing w:after="120" w:before="240"/>
      </w:pPr>
      <w:r>
        <w:rPr>
          <w:rFonts w:ascii="Arial" w:cs="Arial" w:eastAsia="Arial" w:hAnsi="Arial"/>
          <w:b/>
          <w:bCs/>
          <w:color w:val="C00000"/>
          <w:sz w:val="22"/>
          <w:szCs w:val="22"/>
        </w:rPr>
        <w:t xml:space="preserve">Mathematical Models</w:t>
      </w:r>
    </w:p>
    <w:p>
      <w:pPr>
        <w:spacing w:after="10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3700"/>
        <w:gridCol w:w="1100"/>
        <w:gridCol w:w="1900"/>
        <w:gridCol w:w="2300"/>
      </w:tblGrid>
      <w:tr>
        <w:tc>
          <w:tcPr>
            <w:tcW w:type="dxa" w:w="3700"/>
            <w:tcBorders>
              <w:top w:val="single" w:color="BFBFBF" w:sz="4"/>
              <w:left w:val="single" w:color="BFBFBF" w:sz="4"/>
              <w:bottom w:val="single" w:color="BFBFBF" w:sz="4"/>
              <w:right w:val="single" w:color="BFBFBF" w:sz="4"/>
            </w:tcBorders>
            <w:shd w:fill="1F4E78" w:val="clear"/>
            <w:tcMar>
              <w:top w:type="dxa" w:w="80"/>
              <w:left w:type="dxa" w:w="120"/>
              <w:bottom w:type="dxa" w:w="80"/>
              <w:right w:type="dxa" w:w="120"/>
            </w:tcMar>
          </w:tcPr>
          <w:p>
            <w:pPr>
              <w:jc w:val="left"/>
            </w:pPr>
            <w:r>
              <w:rPr>
                <w:rFonts w:ascii="Georgia" w:cs="Georgia" w:eastAsia="Georgia" w:hAnsi="Georgia"/>
                <w:b/>
                <w:bCs/>
                <w:color w:val="FFFFFF"/>
                <w:sz w:val="18"/>
                <w:szCs w:val="18"/>
              </w:rPr>
              <w:t xml:space="preserve">Document / File</w:t>
            </w:r>
          </w:p>
        </w:tc>
        <w:tc>
          <w:tcPr>
            <w:tcW w:type="dxa" w:w="1100"/>
            <w:tcBorders>
              <w:top w:val="single" w:color="BFBFBF" w:sz="4"/>
              <w:left w:val="single" w:color="BFBFBF" w:sz="4"/>
              <w:bottom w:val="single" w:color="BFBFBF" w:sz="4"/>
              <w:right w:val="single" w:color="BFBFBF" w:sz="4"/>
            </w:tcBorders>
            <w:shd w:fill="1F4E78" w:val="clear"/>
            <w:tcMar>
              <w:top w:type="dxa" w:w="80"/>
              <w:left w:type="dxa" w:w="120"/>
              <w:bottom w:type="dxa" w:w="80"/>
              <w:right w:type="dxa" w:w="120"/>
            </w:tcMar>
          </w:tcPr>
          <w:p>
            <w:pPr>
              <w:jc w:val="left"/>
            </w:pPr>
            <w:r>
              <w:rPr>
                <w:rFonts w:ascii="Georgia" w:cs="Georgia" w:eastAsia="Georgia" w:hAnsi="Georgia"/>
                <w:b/>
                <w:bCs/>
                <w:color w:val="FFFFFF"/>
                <w:sz w:val="18"/>
                <w:szCs w:val="18"/>
              </w:rPr>
              <w:t xml:space="preserve">Version</w:t>
            </w:r>
          </w:p>
        </w:tc>
        <w:tc>
          <w:tcPr>
            <w:tcW w:type="dxa" w:w="1900"/>
            <w:tcBorders>
              <w:top w:val="single" w:color="BFBFBF" w:sz="4"/>
              <w:left w:val="single" w:color="BFBFBF" w:sz="4"/>
              <w:bottom w:val="single" w:color="BFBFBF" w:sz="4"/>
              <w:right w:val="single" w:color="BFBFBF" w:sz="4"/>
            </w:tcBorders>
            <w:shd w:fill="1F4E78" w:val="clear"/>
            <w:tcMar>
              <w:top w:type="dxa" w:w="80"/>
              <w:left w:type="dxa" w:w="120"/>
              <w:bottom w:type="dxa" w:w="80"/>
              <w:right w:type="dxa" w:w="120"/>
            </w:tcMar>
          </w:tcPr>
          <w:p>
            <w:pPr>
              <w:jc w:val="left"/>
            </w:pPr>
            <w:r>
              <w:rPr>
                <w:rFonts w:ascii="Georgia" w:cs="Georgia" w:eastAsia="Georgia" w:hAnsi="Georgia"/>
                <w:b/>
                <w:bCs/>
                <w:color w:val="FFFFFF"/>
                <w:sz w:val="18"/>
                <w:szCs w:val="18"/>
              </w:rPr>
              <w:t xml:space="preserve">Created</w:t>
            </w:r>
          </w:p>
        </w:tc>
        <w:tc>
          <w:tcPr>
            <w:tcW w:type="dxa" w:w="2300"/>
            <w:tcBorders>
              <w:top w:val="single" w:color="BFBFBF" w:sz="4"/>
              <w:left w:val="single" w:color="BFBFBF" w:sz="4"/>
              <w:bottom w:val="single" w:color="BFBFBF" w:sz="4"/>
              <w:right w:val="single" w:color="BFBFBF" w:sz="4"/>
            </w:tcBorders>
            <w:shd w:fill="1F4E78" w:val="clear"/>
            <w:tcMar>
              <w:top w:type="dxa" w:w="80"/>
              <w:left w:type="dxa" w:w="120"/>
              <w:bottom w:type="dxa" w:w="80"/>
              <w:right w:type="dxa" w:w="120"/>
            </w:tcMar>
          </w:tcPr>
          <w:p>
            <w:pPr>
              <w:jc w:val="left"/>
            </w:pPr>
            <w:r>
              <w:rPr>
                <w:rFonts w:ascii="Georgia" w:cs="Georgia" w:eastAsia="Georgia" w:hAnsi="Georgia"/>
                <w:b/>
                <w:bCs/>
                <w:color w:val="FFFFFF"/>
                <w:sz w:val="18"/>
                <w:szCs w:val="18"/>
              </w:rPr>
              <w:t xml:space="preserve">Last Updated</w:t>
            </w:r>
          </w:p>
        </w:tc>
      </w:tr>
      <w:tr>
        <w:tc>
          <w:tcPr>
            <w:tcW w:type="dxa" w:w="37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bCs/>
                <w:color w:val="1A1A1A"/>
                <w:sz w:val="19"/>
                <w:szCs w:val="19"/>
              </w:rPr>
              <w:t xml:space="preserve">Combined Reform Model
04_Combined_Reform_Model.xlsx</w:t>
            </w:r>
          </w:p>
        </w:tc>
        <w:tc>
          <w:tcPr>
            <w:tcW w:type="dxa" w:w="11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v1.0</w:t>
            </w:r>
          </w:p>
        </w:tc>
        <w:tc>
          <w:tcPr>
            <w:tcW w:type="dxa" w:w="19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April 2026</w:t>
            </w:r>
          </w:p>
        </w:tc>
        <w:tc>
          <w:tcPr>
            <w:tcW w:type="dxa" w:w="23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April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bCs/>
                <w:color w:val="1A1A1A"/>
                <w:sz w:val="19"/>
                <w:szCs w:val="19"/>
              </w:rPr>
              <w:t xml:space="preserve">SS Sunset Equilibrium Model
04_SS_Sunset_Equilibrium_Model.xlsx</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v1.0</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April 2026</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April 2026</w:t>
            </w:r>
          </w:p>
        </w:tc>
      </w:tr>
      <w:tr>
        <w:tc>
          <w:tcPr>
            <w:tcW w:type="dxa" w:w="37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bCs/>
                <w:color w:val="1A1A1A"/>
                <w:sz w:val="19"/>
                <w:szCs w:val="19"/>
              </w:rPr>
              <w:t xml:space="preserve">Hybrid Retirement System Model
04_Hybrid_Retirement_System_Model.xlsx</w:t>
            </w:r>
          </w:p>
        </w:tc>
        <w:tc>
          <w:tcPr>
            <w:tcW w:type="dxa" w:w="11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v1.0</w:t>
            </w:r>
          </w:p>
        </w:tc>
        <w:tc>
          <w:tcPr>
            <w:tcW w:type="dxa" w:w="19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April 2026</w:t>
            </w:r>
          </w:p>
        </w:tc>
        <w:tc>
          <w:tcPr>
            <w:tcW w:type="dxa" w:w="23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April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bCs/>
                <w:color w:val="1A1A1A"/>
                <w:sz w:val="19"/>
                <w:szCs w:val="19"/>
              </w:rPr>
              <w:t xml:space="preserve">Wage Floor Empirical Analysis
04_Wage_Floor_Empirical_Analysis.xlsx</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v1.0</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April 2026</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April 2026</w:t>
            </w:r>
          </w:p>
        </w:tc>
      </w:tr>
      <w:tr>
        <w:tc>
          <w:tcPr>
            <w:tcW w:type="dxa" w:w="37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bCs/>
                <w:color w:val="1A1A1A"/>
                <w:sz w:val="19"/>
                <w:szCs w:val="19"/>
              </w:rPr>
              <w:t xml:space="preserve">Education Fund + Cost-Based Pricing Model
04_Education_Fund_Cost_Based_Pricing_Model.xlsx</w:t>
            </w:r>
          </w:p>
        </w:tc>
        <w:tc>
          <w:tcPr>
            <w:tcW w:type="dxa" w:w="11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v1.0</w:t>
            </w:r>
          </w:p>
        </w:tc>
        <w:tc>
          <w:tcPr>
            <w:tcW w:type="dxa" w:w="19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April 2026</w:t>
            </w:r>
          </w:p>
        </w:tc>
        <w:tc>
          <w:tcPr>
            <w:tcW w:type="dxa" w:w="23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May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bCs/>
                <w:color w:val="1A1A1A"/>
                <w:sz w:val="19"/>
                <w:szCs w:val="19"/>
              </w:rPr>
              <w:t xml:space="preserve">Universal Healthcare Model
04_Universal_Healthcare_Model.xlsx</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v1.1</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April 2026</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6, 2026</w:t>
            </w:r>
          </w:p>
        </w:tc>
      </w:tr>
      <w:tr>
        <w:tc>
          <w:tcPr>
            <w:tcW w:type="dxa" w:w="37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bCs/>
                <w:color w:val="1A1A1A"/>
                <w:sz w:val="19"/>
                <w:szCs w:val="19"/>
              </w:rPr>
              <w:t xml:space="preserve">Universal Childcare Model
04_Universal_Childcare_Model.xlsx</w:t>
            </w:r>
          </w:p>
        </w:tc>
        <w:tc>
          <w:tcPr>
            <w:tcW w:type="dxa" w:w="11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v1.0</w:t>
            </w:r>
          </w:p>
        </w:tc>
        <w:tc>
          <w:tcPr>
            <w:tcW w:type="dxa" w:w="19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April 2026</w:t>
            </w:r>
          </w:p>
        </w:tc>
        <w:tc>
          <w:tcPr>
            <w:tcW w:type="dxa" w:w="23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April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bCs/>
                <w:color w:val="1A1A1A"/>
                <w:sz w:val="19"/>
                <w:szCs w:val="19"/>
              </w:rPr>
              <w:t xml:space="preserve">Universal Mental Health Model
04_Universal_Mental_Health_Model.xlsx</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v1.0</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April 2026</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April 2026</w:t>
            </w:r>
          </w:p>
        </w:tc>
      </w:tr>
      <w:tr>
        <w:tc>
          <w:tcPr>
            <w:tcW w:type="dxa" w:w="37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bCs/>
                <w:color w:val="1A1A1A"/>
                <w:sz w:val="19"/>
                <w:szCs w:val="19"/>
              </w:rPr>
              <w:t xml:space="preserve">Proof-of-Concept Fund Model
04_Proof_of_Concept_Fund_Model.xlsx</w:t>
            </w:r>
          </w:p>
        </w:tc>
        <w:tc>
          <w:tcPr>
            <w:tcW w:type="dxa" w:w="11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v1.0</w:t>
            </w:r>
          </w:p>
        </w:tc>
        <w:tc>
          <w:tcPr>
            <w:tcW w:type="dxa" w:w="19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April 2026</w:t>
            </w:r>
          </w:p>
        </w:tc>
        <w:tc>
          <w:tcPr>
            <w:tcW w:type="dxa" w:w="23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April 2026</w:t>
            </w:r>
          </w:p>
        </w:tc>
      </w:tr>
    </w:tbl>
    <w:p>
      <w:pPr>
        <w:spacing w:after="300"/>
      </w:pPr>
      <w:r>
        <w:t xml:space="preserve"/>
      </w:r>
    </w:p>
    <w:p>
      <w:pPr>
        <w:pStyle w:val="Heading3"/>
        <w:spacing w:after="120" w:before="240"/>
      </w:pPr>
      <w:r>
        <w:rPr>
          <w:rFonts w:ascii="Arial" w:cs="Arial" w:eastAsia="Arial" w:hAnsi="Arial"/>
          <w:b/>
          <w:bCs/>
          <w:color w:val="C00000"/>
          <w:sz w:val="22"/>
          <w:szCs w:val="22"/>
        </w:rPr>
        <w:t xml:space="preserve">Analytical Framing Documents</w:t>
      </w:r>
    </w:p>
    <w:p>
      <w:pPr>
        <w:spacing w:after="10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3700"/>
        <w:gridCol w:w="1100"/>
        <w:gridCol w:w="1900"/>
        <w:gridCol w:w="2300"/>
      </w:tblGrid>
      <w:tr>
        <w:tc>
          <w:tcPr>
            <w:tcW w:type="dxa" w:w="3700"/>
            <w:tcBorders>
              <w:top w:val="single" w:color="BFBFBF" w:sz="4"/>
              <w:left w:val="single" w:color="BFBFBF" w:sz="4"/>
              <w:bottom w:val="single" w:color="BFBFBF" w:sz="4"/>
              <w:right w:val="single" w:color="BFBFBF" w:sz="4"/>
            </w:tcBorders>
            <w:shd w:fill="1F4E78" w:val="clear"/>
            <w:tcMar>
              <w:top w:type="dxa" w:w="80"/>
              <w:left w:type="dxa" w:w="120"/>
              <w:bottom w:type="dxa" w:w="80"/>
              <w:right w:type="dxa" w:w="120"/>
            </w:tcMar>
          </w:tcPr>
          <w:p>
            <w:pPr>
              <w:jc w:val="left"/>
            </w:pPr>
            <w:r>
              <w:rPr>
                <w:rFonts w:ascii="Georgia" w:cs="Georgia" w:eastAsia="Georgia" w:hAnsi="Georgia"/>
                <w:b/>
                <w:bCs/>
                <w:color w:val="FFFFFF"/>
                <w:sz w:val="18"/>
                <w:szCs w:val="18"/>
              </w:rPr>
              <w:t xml:space="preserve">Document / File</w:t>
            </w:r>
          </w:p>
        </w:tc>
        <w:tc>
          <w:tcPr>
            <w:tcW w:type="dxa" w:w="1100"/>
            <w:tcBorders>
              <w:top w:val="single" w:color="BFBFBF" w:sz="4"/>
              <w:left w:val="single" w:color="BFBFBF" w:sz="4"/>
              <w:bottom w:val="single" w:color="BFBFBF" w:sz="4"/>
              <w:right w:val="single" w:color="BFBFBF" w:sz="4"/>
            </w:tcBorders>
            <w:shd w:fill="1F4E78" w:val="clear"/>
            <w:tcMar>
              <w:top w:type="dxa" w:w="80"/>
              <w:left w:type="dxa" w:w="120"/>
              <w:bottom w:type="dxa" w:w="80"/>
              <w:right w:type="dxa" w:w="120"/>
            </w:tcMar>
          </w:tcPr>
          <w:p>
            <w:pPr>
              <w:jc w:val="left"/>
            </w:pPr>
            <w:r>
              <w:rPr>
                <w:rFonts w:ascii="Georgia" w:cs="Georgia" w:eastAsia="Georgia" w:hAnsi="Georgia"/>
                <w:b/>
                <w:bCs/>
                <w:color w:val="FFFFFF"/>
                <w:sz w:val="18"/>
                <w:szCs w:val="18"/>
              </w:rPr>
              <w:t xml:space="preserve">Version</w:t>
            </w:r>
          </w:p>
        </w:tc>
        <w:tc>
          <w:tcPr>
            <w:tcW w:type="dxa" w:w="1900"/>
            <w:tcBorders>
              <w:top w:val="single" w:color="BFBFBF" w:sz="4"/>
              <w:left w:val="single" w:color="BFBFBF" w:sz="4"/>
              <w:bottom w:val="single" w:color="BFBFBF" w:sz="4"/>
              <w:right w:val="single" w:color="BFBFBF" w:sz="4"/>
            </w:tcBorders>
            <w:shd w:fill="1F4E78" w:val="clear"/>
            <w:tcMar>
              <w:top w:type="dxa" w:w="80"/>
              <w:left w:type="dxa" w:w="120"/>
              <w:bottom w:type="dxa" w:w="80"/>
              <w:right w:type="dxa" w:w="120"/>
            </w:tcMar>
          </w:tcPr>
          <w:p>
            <w:pPr>
              <w:jc w:val="left"/>
            </w:pPr>
            <w:r>
              <w:rPr>
                <w:rFonts w:ascii="Georgia" w:cs="Georgia" w:eastAsia="Georgia" w:hAnsi="Georgia"/>
                <w:b/>
                <w:bCs/>
                <w:color w:val="FFFFFF"/>
                <w:sz w:val="18"/>
                <w:szCs w:val="18"/>
              </w:rPr>
              <w:t xml:space="preserve">Created</w:t>
            </w:r>
          </w:p>
        </w:tc>
        <w:tc>
          <w:tcPr>
            <w:tcW w:type="dxa" w:w="2300"/>
            <w:tcBorders>
              <w:top w:val="single" w:color="BFBFBF" w:sz="4"/>
              <w:left w:val="single" w:color="BFBFBF" w:sz="4"/>
              <w:bottom w:val="single" w:color="BFBFBF" w:sz="4"/>
              <w:right w:val="single" w:color="BFBFBF" w:sz="4"/>
            </w:tcBorders>
            <w:shd w:fill="1F4E78" w:val="clear"/>
            <w:tcMar>
              <w:top w:type="dxa" w:w="80"/>
              <w:left w:type="dxa" w:w="120"/>
              <w:bottom w:type="dxa" w:w="80"/>
              <w:right w:type="dxa" w:w="120"/>
            </w:tcMar>
          </w:tcPr>
          <w:p>
            <w:pPr>
              <w:jc w:val="left"/>
            </w:pPr>
            <w:r>
              <w:rPr>
                <w:rFonts w:ascii="Georgia" w:cs="Georgia" w:eastAsia="Georgia" w:hAnsi="Georgia"/>
                <w:b/>
                <w:bCs/>
                <w:color w:val="FFFFFF"/>
                <w:sz w:val="18"/>
                <w:szCs w:val="18"/>
              </w:rPr>
              <w:t xml:space="preserve">Last Updated</w:t>
            </w:r>
          </w:p>
        </w:tc>
      </w:tr>
      <w:tr>
        <w:tc>
          <w:tcPr>
            <w:tcW w:type="dxa" w:w="37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bCs/>
                <w:color w:val="1A1A1A"/>
                <w:sz w:val="19"/>
                <w:szCs w:val="19"/>
              </w:rPr>
              <w:t xml:space="preserve">Does This Raise Taxes?
05_Does_This_Raise_Taxes.docx</w:t>
            </w:r>
          </w:p>
        </w:tc>
        <w:tc>
          <w:tcPr>
            <w:tcW w:type="dxa" w:w="11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v1.9</w:t>
            </w:r>
          </w:p>
        </w:tc>
        <w:tc>
          <w:tcPr>
            <w:tcW w:type="dxa" w:w="19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April 2026</w:t>
            </w:r>
          </w:p>
        </w:tc>
        <w:tc>
          <w:tcPr>
            <w:tcW w:type="dxa" w:w="23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6,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bCs/>
                <w:color w:val="1A1A1A"/>
                <w:sz w:val="19"/>
                <w:szCs w:val="19"/>
              </w:rPr>
              <w:t xml:space="preserve">How This Was Built (Provenance)
05_How_This_Was_Built.docx</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v1.6</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April 2026</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6, 2026</w:t>
            </w:r>
          </w:p>
        </w:tc>
      </w:tr>
      <w:tr>
        <w:tc>
          <w:tcPr>
            <w:tcW w:type="dxa" w:w="37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bCs/>
                <w:color w:val="1A1A1A"/>
                <w:sz w:val="19"/>
                <w:szCs w:val="19"/>
              </w:rPr>
              <w:t xml:space="preserve">What Changes — Future State Milestones
05_What_Changes_Milestones.docx</w:t>
            </w:r>
          </w:p>
        </w:tc>
        <w:tc>
          <w:tcPr>
            <w:tcW w:type="dxa" w:w="11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v1.1</w:t>
            </w:r>
          </w:p>
        </w:tc>
        <w:tc>
          <w:tcPr>
            <w:tcW w:type="dxa" w:w="19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April 2026</w:t>
            </w:r>
          </w:p>
        </w:tc>
        <w:tc>
          <w:tcPr>
            <w:tcW w:type="dxa" w:w="23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6,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bCs/>
                <w:color w:val="1A1A1A"/>
                <w:sz w:val="19"/>
                <w:szCs w:val="19"/>
              </w:rPr>
              <w:t xml:space="preserve">Identity Theft Reduction
05_Identity_Theft_Reduction.docx</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v1.2</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May 2026</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May 3, 2026</w:t>
            </w:r>
          </w:p>
        </w:tc>
      </w:tr>
      <w:tr>
        <w:tc>
          <w:tcPr>
            <w:tcW w:type="dxa" w:w="37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bCs/>
                <w:color w:val="1A1A1A"/>
                <w:sz w:val="19"/>
                <w:szCs w:val="19"/>
              </w:rPr>
              <w:t xml:space="preserve">Repairing the Past (Retroactive Debt)
05_Repairing_The_Past.docx</w:t>
            </w:r>
          </w:p>
        </w:tc>
        <w:tc>
          <w:tcPr>
            <w:tcW w:type="dxa" w:w="11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v1.0</w:t>
            </w:r>
          </w:p>
        </w:tc>
        <w:tc>
          <w:tcPr>
            <w:tcW w:type="dxa" w:w="19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May 2026</w:t>
            </w:r>
          </w:p>
        </w:tc>
        <w:tc>
          <w:tcPr>
            <w:tcW w:type="dxa" w:w="23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May 3,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bCs/>
                <w:color w:val="1A1A1A"/>
                <w:sz w:val="19"/>
                <w:szCs w:val="19"/>
              </w:rPr>
              <w:t xml:space="preserve">Unlocking America's Potential
05_Unlocking_Americas_Potential.docx</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v1.0</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May 2026</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May 3, 2026</w:t>
            </w:r>
          </w:p>
        </w:tc>
      </w:tr>
      <w:tr>
        <w:tc>
          <w:tcPr>
            <w:tcW w:type="dxa" w:w="37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bCs/>
                <w:color w:val="1A1A1A"/>
                <w:sz w:val="19"/>
                <w:szCs w:val="19"/>
              </w:rPr>
              <w:t xml:space="preserve">The Path to Reality (Implementation)
05_Path_To_Reality.docx</w:t>
            </w:r>
          </w:p>
        </w:tc>
        <w:tc>
          <w:tcPr>
            <w:tcW w:type="dxa" w:w="11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v1.1</w:t>
            </w:r>
          </w:p>
        </w:tc>
        <w:tc>
          <w:tcPr>
            <w:tcW w:type="dxa" w:w="19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May 2026</w:t>
            </w:r>
          </w:p>
        </w:tc>
        <w:tc>
          <w:tcPr>
            <w:tcW w:type="dxa" w:w="23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May 4,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bCs/>
                <w:color w:val="1A1A1A"/>
                <w:sz w:val="19"/>
                <w:szCs w:val="19"/>
              </w:rPr>
              <w:t xml:space="preserve">Wage Floors as Tax Architecture
05_Wage_Floors_As_Tax_Architecture.docx</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v1.5</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May 2026</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6, 2026</w:t>
            </w:r>
          </w:p>
        </w:tc>
      </w:tr>
      <w:tr>
        <w:tc>
          <w:tcPr>
            <w:tcW w:type="dxa" w:w="37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bCs/>
                <w:color w:val="1A1A1A"/>
                <w:sz w:val="19"/>
                <w:szCs w:val="19"/>
              </w:rPr>
              <w:t xml:space="preserve">What This Means For You (Tax Comparison)
05_What_This_Means_For_You.docx</w:t>
            </w:r>
          </w:p>
        </w:tc>
        <w:tc>
          <w:tcPr>
            <w:tcW w:type="dxa" w:w="11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v1.8</w:t>
            </w:r>
          </w:p>
        </w:tc>
        <w:tc>
          <w:tcPr>
            <w:tcW w:type="dxa" w:w="19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May 2026</w:t>
            </w:r>
          </w:p>
        </w:tc>
        <w:tc>
          <w:tcPr>
            <w:tcW w:type="dxa" w:w="23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6,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bCs/>
                <w:color w:val="1A1A1A"/>
                <w:sz w:val="19"/>
                <w:szCs w:val="19"/>
              </w:rPr>
              <w:t xml:space="preserve">Narrative Example: $100K Tax Comparison
05_Narrative_Example_100K_Tax_Comparison.docx</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v1.1</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May 2026</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5, 2026</w:t>
            </w:r>
          </w:p>
        </w:tc>
      </w:tr>
    </w:tbl>
    <w:p>
      <w:r>
        <w:br w:type="page"/>
      </w:r>
    </w:p>
    <w:p>
      <w:pPr>
        <w:pStyle w:val="Heading3"/>
        <w:spacing w:after="120" w:before="240"/>
      </w:pPr>
      <w:r>
        <w:rPr>
          <w:rFonts w:ascii="Arial" w:cs="Arial" w:eastAsia="Arial" w:hAnsi="Arial"/>
          <w:b/>
          <w:bCs/>
          <w:color w:val="C00000"/>
          <w:sz w:val="22"/>
          <w:szCs w:val="22"/>
        </w:rPr>
        <w:t xml:space="preserve">Presentation Materials</w:t>
      </w:r>
    </w:p>
    <w:p>
      <w:pPr>
        <w:spacing w:after="10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3700"/>
        <w:gridCol w:w="1100"/>
        <w:gridCol w:w="1900"/>
        <w:gridCol w:w="2300"/>
      </w:tblGrid>
      <w:tr>
        <w:tc>
          <w:tcPr>
            <w:tcW w:type="dxa" w:w="3700"/>
            <w:tcBorders>
              <w:top w:val="single" w:color="BFBFBF" w:sz="4"/>
              <w:left w:val="single" w:color="BFBFBF" w:sz="4"/>
              <w:bottom w:val="single" w:color="BFBFBF" w:sz="4"/>
              <w:right w:val="single" w:color="BFBFBF" w:sz="4"/>
            </w:tcBorders>
            <w:shd w:fill="1F4E78" w:val="clear"/>
            <w:tcMar>
              <w:top w:type="dxa" w:w="80"/>
              <w:left w:type="dxa" w:w="120"/>
              <w:bottom w:type="dxa" w:w="80"/>
              <w:right w:type="dxa" w:w="120"/>
            </w:tcMar>
          </w:tcPr>
          <w:p>
            <w:pPr>
              <w:jc w:val="left"/>
            </w:pPr>
            <w:r>
              <w:rPr>
                <w:rFonts w:ascii="Georgia" w:cs="Georgia" w:eastAsia="Georgia" w:hAnsi="Georgia"/>
                <w:b/>
                <w:bCs/>
                <w:color w:val="FFFFFF"/>
                <w:sz w:val="18"/>
                <w:szCs w:val="18"/>
              </w:rPr>
              <w:t xml:space="preserve">Document / File</w:t>
            </w:r>
          </w:p>
        </w:tc>
        <w:tc>
          <w:tcPr>
            <w:tcW w:type="dxa" w:w="1100"/>
            <w:tcBorders>
              <w:top w:val="single" w:color="BFBFBF" w:sz="4"/>
              <w:left w:val="single" w:color="BFBFBF" w:sz="4"/>
              <w:bottom w:val="single" w:color="BFBFBF" w:sz="4"/>
              <w:right w:val="single" w:color="BFBFBF" w:sz="4"/>
            </w:tcBorders>
            <w:shd w:fill="1F4E78" w:val="clear"/>
            <w:tcMar>
              <w:top w:type="dxa" w:w="80"/>
              <w:left w:type="dxa" w:w="120"/>
              <w:bottom w:type="dxa" w:w="80"/>
              <w:right w:type="dxa" w:w="120"/>
            </w:tcMar>
          </w:tcPr>
          <w:p>
            <w:pPr>
              <w:jc w:val="left"/>
            </w:pPr>
            <w:r>
              <w:rPr>
                <w:rFonts w:ascii="Georgia" w:cs="Georgia" w:eastAsia="Georgia" w:hAnsi="Georgia"/>
                <w:b/>
                <w:bCs/>
                <w:color w:val="FFFFFF"/>
                <w:sz w:val="18"/>
                <w:szCs w:val="18"/>
              </w:rPr>
              <w:t xml:space="preserve">Version</w:t>
            </w:r>
          </w:p>
        </w:tc>
        <w:tc>
          <w:tcPr>
            <w:tcW w:type="dxa" w:w="1900"/>
            <w:tcBorders>
              <w:top w:val="single" w:color="BFBFBF" w:sz="4"/>
              <w:left w:val="single" w:color="BFBFBF" w:sz="4"/>
              <w:bottom w:val="single" w:color="BFBFBF" w:sz="4"/>
              <w:right w:val="single" w:color="BFBFBF" w:sz="4"/>
            </w:tcBorders>
            <w:shd w:fill="1F4E78" w:val="clear"/>
            <w:tcMar>
              <w:top w:type="dxa" w:w="80"/>
              <w:left w:type="dxa" w:w="120"/>
              <w:bottom w:type="dxa" w:w="80"/>
              <w:right w:type="dxa" w:w="120"/>
            </w:tcMar>
          </w:tcPr>
          <w:p>
            <w:pPr>
              <w:jc w:val="left"/>
            </w:pPr>
            <w:r>
              <w:rPr>
                <w:rFonts w:ascii="Georgia" w:cs="Georgia" w:eastAsia="Georgia" w:hAnsi="Georgia"/>
                <w:b/>
                <w:bCs/>
                <w:color w:val="FFFFFF"/>
                <w:sz w:val="18"/>
                <w:szCs w:val="18"/>
              </w:rPr>
              <w:t xml:space="preserve">Created</w:t>
            </w:r>
          </w:p>
        </w:tc>
        <w:tc>
          <w:tcPr>
            <w:tcW w:type="dxa" w:w="2300"/>
            <w:tcBorders>
              <w:top w:val="single" w:color="BFBFBF" w:sz="4"/>
              <w:left w:val="single" w:color="BFBFBF" w:sz="4"/>
              <w:bottom w:val="single" w:color="BFBFBF" w:sz="4"/>
              <w:right w:val="single" w:color="BFBFBF" w:sz="4"/>
            </w:tcBorders>
            <w:shd w:fill="1F4E78" w:val="clear"/>
            <w:tcMar>
              <w:top w:type="dxa" w:w="80"/>
              <w:left w:type="dxa" w:w="120"/>
              <w:bottom w:type="dxa" w:w="80"/>
              <w:right w:type="dxa" w:w="120"/>
            </w:tcMar>
          </w:tcPr>
          <w:p>
            <w:pPr>
              <w:jc w:val="left"/>
            </w:pPr>
            <w:r>
              <w:rPr>
                <w:rFonts w:ascii="Georgia" w:cs="Georgia" w:eastAsia="Georgia" w:hAnsi="Georgia"/>
                <w:b/>
                <w:bCs/>
                <w:color w:val="FFFFFF"/>
                <w:sz w:val="18"/>
                <w:szCs w:val="18"/>
              </w:rPr>
              <w:t xml:space="preserve">Last Updated</w:t>
            </w:r>
          </w:p>
        </w:tc>
      </w:tr>
      <w:tr>
        <w:tc>
          <w:tcPr>
            <w:tcW w:type="dxa" w:w="37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bCs/>
                <w:color w:val="1A1A1A"/>
                <w:sz w:val="19"/>
                <w:szCs w:val="19"/>
              </w:rPr>
              <w:t>We The People Overview Slideshow — Option A (Light Update; PDF)</w:t>
              <w:br/>
              <w:t>06_We_The_People_Overview_OptionA_Light.pdf</w:t>
            </w:r>
          </w:p>
        </w:tc>
        <w:tc>
          <w:tcPr>
            <w:tcW w:type="dxa" w:w="11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v1.0</w:t>
            </w:r>
          </w:p>
        </w:tc>
        <w:tc>
          <w:tcPr>
            <w:tcW w:type="dxa" w:w="19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7, 2026</w:t>
            </w:r>
          </w:p>
        </w:tc>
        <w:tc>
          <w:tcPr>
            <w:tcW w:type="dxa" w:w="23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7, 2026</w:t>
            </w:r>
          </w:p>
        </w:tc>
      </w:tr>
      <w:tr>
        <w:tc>
          <w:tcPr>
            <w:tcW w:type="dxa" w:w="37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bCs/>
                <w:color w:val="1A1A1A"/>
                <w:sz w:val="19"/>
                <w:szCs w:val="19"/>
              </w:rPr>
              <w:t>We The People Overview Slideshow — Option B (Medium Restructure; PDF)</w:t>
              <w:br/>
              <w:t>06_We_The_People_Overview_OptionB_Medium.pdf</w:t>
            </w:r>
          </w:p>
        </w:tc>
        <w:tc>
          <w:tcPr>
            <w:tcW w:type="dxa" w:w="11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v1.0</w:t>
            </w:r>
          </w:p>
        </w:tc>
        <w:tc>
          <w:tcPr>
            <w:tcW w:type="dxa" w:w="19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7, 2026</w:t>
            </w:r>
          </w:p>
        </w:tc>
        <w:tc>
          <w:tcPr>
            <w:tcW w:type="dxa" w:w="23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7, 2026</w:t>
            </w:r>
          </w:p>
        </w:tc>
      </w:tr>
      <w:tr>
        <w:tc>
          <w:tcPr>
            <w:tcW w:type="dxa" w:w="37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bCs/>
                <w:color w:val="1A1A1A"/>
                <w:sz w:val="19"/>
                <w:szCs w:val="19"/>
              </w:rPr>
              <w:t>We The People Overview Slideshow — Option C (Full Rebuild; PDF)</w:t>
              <w:br/>
              <w:t>06_We_The_People_Overview_OptionC_LifeStage.pdf</w:t>
            </w:r>
          </w:p>
        </w:tc>
        <w:tc>
          <w:tcPr>
            <w:tcW w:type="dxa" w:w="11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v1.0</w:t>
            </w:r>
          </w:p>
        </w:tc>
        <w:tc>
          <w:tcPr>
            <w:tcW w:type="dxa" w:w="19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7, 2026</w:t>
            </w:r>
          </w:p>
        </w:tc>
        <w:tc>
          <w:tcPr>
            <w:tcW w:type="dxa" w:w="23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7, 2026</w:t>
            </w:r>
          </w:p>
        </w:tc>
      </w:tr>
      <w:tr>
        <w:tc>
          <w:tcPr>
            <w:tcW w:type="dxa" w:w="37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bCs/>
                <w:color w:val="1A1A1A"/>
                <w:sz w:val="19"/>
                <w:szCs w:val="19"/>
              </w:rPr>
              <w:t>Slideshow PDF Export</w:t>
            </w:r>
          </w:p>
        </w:tc>
        <w:tc>
          <w:tcPr>
            <w:tcW w:type="dxa" w:w="11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v1.0</w:t>
            </w:r>
          </w:p>
        </w:tc>
        <w:tc>
          <w:tcPr>
            <w:tcW w:type="dxa" w:w="19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PDF export of slideshow for sharing or printing</w:t>
            </w:r>
          </w:p>
        </w:tc>
        <w:tc>
          <w:tcPr>
            <w:tcW w:type="dxa" w:w="23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April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bCs/>
                <w:color w:val="1A1A1A"/>
                <w:sz w:val="19"/>
                <w:szCs w:val="19"/>
              </w:rPr>
              <w:t>We The People Overview Slideshow — Option A (Light Update; Twelve Pillars)</w:t>
              <w:br/>
              <w:t>06_We_The_People_Overview_OptionA_Light.pptx</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v1.0</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7, 2026</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7,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bCs/>
                <w:color w:val="1A1A1A"/>
                <w:sz w:val="19"/>
                <w:szCs w:val="19"/>
              </w:rPr>
              <w:t>We The People Overview Slideshow — Option B (Medium Restructure; Twelve Pillars by Funding)</w:t>
              <w:br/>
              <w:t>06_We_The_People_Overview_OptionB_Medium.pptx</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v1.0</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7, 2026</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7,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bCs/>
                <w:color w:val="1A1A1A"/>
                <w:sz w:val="19"/>
                <w:szCs w:val="19"/>
              </w:rPr>
              <w:t>We The People Overview Slideshow — Option C (Full Rebuild; Life-Stage Organization)</w:t>
              <w:br/>
              <w:t>06_We_The_People_Overview_OptionC_LifeStage.pptx</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v1.0</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7, 2026</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7, 2026</w:t>
            </w:r>
          </w:p>
        </w:tc>
      </w:tr>
      <w:tr>
        <w:tc>
          <w:tcPr>
            <w:tcW w:type="dxa" w:w="37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bCs/>
                <w:color w:val="1A1A1A"/>
                <w:sz w:val="19"/>
                <w:szCs w:val="19"/>
              </w:rPr>
              <w:t xml:space="preserve">Sovereign Fund Governance Design
05_Sovereign_Fund_Governance_Design.docx</w:t>
            </w:r>
          </w:p>
        </w:tc>
        <w:tc>
          <w:tcPr>
            <w:tcW w:type="dxa" w:w="11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v1.1</w:t>
            </w:r>
          </w:p>
        </w:tc>
        <w:tc>
          <w:tcPr>
            <w:tcW w:type="dxa" w:w="19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May 4, 2026</w:t>
            </w:r>
          </w:p>
        </w:tc>
        <w:tc>
          <w:tcPr>
            <w:tcW w:type="dxa" w:w="23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May 4,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bCs/>
                <w:color w:val="1A1A1A"/>
                <w:sz w:val="19"/>
                <w:szCs w:val="19"/>
              </w:rPr>
              <w:t xml:space="preserve">Healthcare Transition Detailed Plan
05_Healthcare_Transition_Detailed_Plan.docx</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v1.2</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May 4, 2026</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6, 2026</w:t>
            </w:r>
          </w:p>
        </w:tc>
      </w:tr>
      <w:tr>
        <w:tc>
          <w:tcPr>
            <w:tcW w:type="dxa" w:w="37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bCs/>
                <w:color w:val="1A1A1A"/>
                <w:sz w:val="19"/>
                <w:szCs w:val="19"/>
              </w:rPr>
              <w:t xml:space="preserve">Refundable Transition Bridge Credit
05_Refundable_Transition_Bridge_Credit.docx</w:t>
            </w:r>
          </w:p>
        </w:tc>
        <w:tc>
          <w:tcPr>
            <w:tcW w:type="dxa" w:w="11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v1.0</w:t>
            </w:r>
          </w:p>
        </w:tc>
        <w:tc>
          <w:tcPr>
            <w:tcW w:type="dxa" w:w="19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May 4, 2026</w:t>
            </w:r>
          </w:p>
        </w:tc>
        <w:tc>
          <w:tcPr>
            <w:tcW w:type="dxa" w:w="23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May 4,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bCs/>
                <w:color w:val="1A1A1A"/>
                <w:sz w:val="19"/>
                <w:szCs w:val="19"/>
              </w:rPr>
              <w:t xml:space="preserve">Universal Mental Health Access Substantiation
05_Universal_Mental_Health_Access_Substantiation.docx</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v1.0</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May 4, 2026</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May 4, 2026</w:t>
            </w:r>
          </w:p>
        </w:tc>
      </w:tr>
      <w:tr>
        <w:tc>
          <w:tcPr>
            <w:tcW w:type="dxa" w:w="37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bCs/>
                <w:color w:val="1A1A1A"/>
                <w:sz w:val="19"/>
                <w:szCs w:val="19"/>
              </w:rPr>
              <w:t xml:space="preserve">Civic Infrastructure: An Architectural Framing
05_Civic_Infrastructure_Architectural_Framing.docx</w:t>
            </w:r>
          </w:p>
        </w:tc>
        <w:tc>
          <w:tcPr>
            <w:tcW w:type="dxa" w:w="11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v1.3</w:t>
            </w:r>
          </w:p>
        </w:tc>
        <w:tc>
          <w:tcPr>
            <w:tcW w:type="dxa" w:w="19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May 4, 2026</w:t>
            </w:r>
          </w:p>
        </w:tc>
        <w:tc>
          <w:tcPr>
            <w:tcW w:type="dxa" w:w="23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6,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bCs/>
                <w:color w:val="1A1A1A"/>
                <w:sz w:val="19"/>
                <w:szCs w:val="19"/>
              </w:rPr>
              <w:t xml:space="preserve">Civic Infrastructure Model
04_Civic_Infrastructure_Model.xlsx</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v1.1</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May 4, 2026</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May 4, 2026 (v2.4: Path A reflected)</w:t>
            </w:r>
          </w:p>
        </w:tc>
      </w:tr>
      <w:tr>
        <w:tc>
          <w:tcPr>
            <w:tcW w:type="dxa" w:w="37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bCs/>
                <w:color w:val="1A1A1A"/>
                <w:sz w:val="19"/>
                <w:szCs w:val="19"/>
              </w:rPr>
              <w:t xml:space="preserve">Free Universal Broadband Cost Analysis
05_Free_Universal_Broadband_Cost_Analysis.docx</w:t>
            </w:r>
          </w:p>
        </w:tc>
        <w:tc>
          <w:tcPr>
            <w:tcW w:type="dxa" w:w="11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v1.2</w:t>
            </w:r>
          </w:p>
        </w:tc>
        <w:tc>
          <w:tcPr>
            <w:tcW w:type="dxa" w:w="19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May 4, 2026</w:t>
            </w:r>
          </w:p>
        </w:tc>
        <w:tc>
          <w:tcPr>
            <w:tcW w:type="dxa" w:w="23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May 4,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bCs/>
                <w:color w:val="1A1A1A"/>
                <w:sz w:val="19"/>
                <w:szCs w:val="19"/>
              </w:rPr>
              <w:t xml:space="preserve">Free Universal Broadband Cost Model
04_Free_Universal_Broadband_Cost_Model.xlsx</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v1.0</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May 4, 2026</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May 4, 2026</w:t>
            </w:r>
          </w:p>
        </w:tc>
      </w:tr>
      <w:tr>
        <w:tc>
          <w:tcPr>
            <w:tcW w:type="dxa" w:w="37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bCs/>
                <w:color w:val="1A1A1A"/>
                <w:sz w:val="19"/>
                <w:szCs w:val="19"/>
              </w:rPr>
              <w:t xml:space="preserve">Universal Broadband: Two Paths Compared
05_Two_Paths_Compared.docx</w:t>
            </w:r>
          </w:p>
        </w:tc>
        <w:tc>
          <w:tcPr>
            <w:tcW w:type="dxa" w:w="11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v1.1</w:t>
            </w:r>
          </w:p>
        </w:tc>
        <w:tc>
          <w:tcPr>
            <w:tcW w:type="dxa" w:w="19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May 4, 2026</w:t>
            </w:r>
          </w:p>
        </w:tc>
        <w:tc>
          <w:tcPr>
            <w:tcW w:type="dxa" w:w="23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May 4,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bCs/>
                <w:color w:val="1A1A1A"/>
                <w:sz w:val="19"/>
                <w:szCs w:val="19"/>
              </w:rPr>
              <w:t xml:space="preserve">Two Paths Compared Model
04_Two_Paths_Compared_Model.xlsx</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v1.0</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May 4, 2026</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May 4, 2026</w:t>
            </w:r>
          </w:p>
        </w:tc>
      </w:tr>
      <w:tr>
        <w:tc>
          <w:tcPr>
            <w:tcW w:type="dxa" w:w="37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bCs/>
                <w:color w:val="1A1A1A"/>
                <w:sz w:val="19"/>
                <w:szCs w:val="19"/>
              </w:rPr>
              <w:t xml:space="preserve">Modernize American Civic Engagement: Integrated Argument
05_Modernize_Civic_Engagement_Integrated_Argument.docx</w:t>
            </w:r>
          </w:p>
        </w:tc>
        <w:tc>
          <w:tcPr>
            <w:tcW w:type="dxa" w:w="11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v1.1</w:t>
            </w:r>
          </w:p>
        </w:tc>
        <w:tc>
          <w:tcPr>
            <w:tcW w:type="dxa" w:w="19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May 4, 2026</w:t>
            </w:r>
          </w:p>
        </w:tc>
        <w:tc>
          <w:tcPr>
            <w:tcW w:type="dxa" w:w="23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May 4,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bCs/>
                <w:color w:val="1A1A1A"/>
                <w:sz w:val="19"/>
                <w:szCs w:val="19"/>
              </w:rPr>
              <w:t xml:space="preserve">Modernize Civic Engagement Cost Model
04_Modernize_Civic_Engagement_Cost_Model.xlsx</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v1.0</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May 4, 2026</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May 4, 2026</w:t>
            </w:r>
          </w:p>
        </w:tc>
      </w:tr>
      <w:tr>
        <w:tc>
          <w:tcPr>
            <w:tcW w:type="dxa" w:w="37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bCs/>
                <w:color w:val="1A1A1A"/>
                <w:sz w:val="19"/>
                <w:szCs w:val="19"/>
              </w:rPr>
              <w:t xml:space="preserve">Universal Broadband Access Substantiation
05_Universal_Broadband_Access_Substantiation.docx</w:t>
            </w:r>
          </w:p>
        </w:tc>
        <w:tc>
          <w:tcPr>
            <w:tcW w:type="dxa" w:w="11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v1.3</w:t>
            </w:r>
          </w:p>
        </w:tc>
        <w:tc>
          <w:tcPr>
            <w:tcW w:type="dxa" w:w="19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May 4, 2026</w:t>
            </w:r>
          </w:p>
        </w:tc>
        <w:tc>
          <w:tcPr>
            <w:tcW w:type="dxa" w:w="23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6,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bCs/>
                <w:color w:val="1A1A1A"/>
                <w:sz w:val="19"/>
                <w:szCs w:val="19"/>
              </w:rPr>
              <w:t xml:space="preserve">Universal Broadband Access Model
04_Universal_Broadband_Access_Model.xlsx</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v1.0</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May 4, 2026</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May 4, 2026</w:t>
            </w:r>
          </w:p>
        </w:tc>
      </w:tr>
      <w:tr>
        <w:tc>
          <w:tcPr>
            <w:tcW w:type="dxa" w:w="37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bCs/>
                <w:color w:val="1A1A1A"/>
                <w:sz w:val="19"/>
                <w:szCs w:val="19"/>
              </w:rPr>
              <w:t xml:space="preserve">Per-Citizen Benefits and Costs Across the Deployment Timeline
05_Per_Citizen_Benefits_and_Costs.docx</w:t>
            </w:r>
          </w:p>
        </w:tc>
        <w:tc>
          <w:tcPr>
            <w:tcW w:type="dxa" w:w="11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v1.1</w:t>
            </w:r>
          </w:p>
        </w:tc>
        <w:tc>
          <w:tcPr>
            <w:tcW w:type="dxa" w:w="19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May 4, 2026</w:t>
            </w:r>
          </w:p>
        </w:tc>
        <w:tc>
          <w:tcPr>
            <w:tcW w:type="dxa" w:w="23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May 4,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bCs/>
                <w:color w:val="1A1A1A"/>
                <w:sz w:val="19"/>
                <w:szCs w:val="19"/>
              </w:rPr>
              <w:t xml:space="preserve">Per-Citizen Cost-Benefit Model
04_Per_Citizen_Cost_Benefit_Model.xlsx</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v1.0</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May 4, 2026</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May 4, 2026</w:t>
            </w:r>
          </w:p>
        </w:tc>
      </w:tr>
      <w:tr>
        <w:tc>
          <w:tcPr>
            <w:tcW w:type="dxa" w:w="37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bCs/>
                <w:color w:val="1A1A1A"/>
                <w:sz w:val="19"/>
                <w:szCs w:val="19"/>
              </w:rPr>
              <w:t xml:space="preserve">Coalition Mathematics: Threshold and Projection Analysis
05_Coalition_Mathematics.docx</w:t>
            </w:r>
          </w:p>
        </w:tc>
        <w:tc>
          <w:tcPr>
            <w:tcW w:type="dxa" w:w="11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v1.0</w:t>
            </w:r>
          </w:p>
        </w:tc>
        <w:tc>
          <w:tcPr>
            <w:tcW w:type="dxa" w:w="19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May 4, 2026</w:t>
            </w:r>
          </w:p>
        </w:tc>
        <w:tc>
          <w:tcPr>
            <w:tcW w:type="dxa" w:w="23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May 4,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bCs/>
                <w:color w:val="1A1A1A"/>
                <w:sz w:val="19"/>
                <w:szCs w:val="19"/>
              </w:rPr>
              <w:t xml:space="preserve">Coalition Mathematics Model
04_Coalition_Mathematics_Model.xlsx</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v1.0</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May 4, 2026</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May 4, 2026</w:t>
            </w:r>
          </w:p>
        </w:tc>
      </w:tr>
      <w:tr>
        <w:tc>
          <w:tcPr>
            <w:tcW w:type="dxa" w:w="37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bCs/>
                <w:color w:val="1A1A1A"/>
                <w:sz w:val="19"/>
                <w:szCs w:val="19"/>
              </w:rPr>
              <w:t xml:space="preserve">Coalition Walkthrough: Four Scenarios in Depth
05_Coalition_Walkthrough.docx</w:t>
            </w:r>
          </w:p>
        </w:tc>
        <w:tc>
          <w:tcPr>
            <w:tcW w:type="dxa" w:w="11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v1.0</w:t>
            </w:r>
          </w:p>
        </w:tc>
        <w:tc>
          <w:tcPr>
            <w:tcW w:type="dxa" w:w="19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May 5, 2026</w:t>
            </w:r>
          </w:p>
        </w:tc>
        <w:tc>
          <w:tcPr>
            <w:tcW w:type="dxa" w:w="23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May 5,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bCs/>
                <w:color w:val="1A1A1A"/>
                <w:sz w:val="19"/>
                <w:szCs w:val="19"/>
              </w:rPr>
              <w:t xml:space="preserve">Coalition Walkthrough Model
04_Coalition_Walkthrough_Model.xlsx</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v1.0</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May 5, 2026</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May 5, 2026</w:t>
            </w:r>
          </w:p>
        </w:tc>
      </w:tr>
      <w:tr>
        <w:tc>
          <w:tcPr>
            <w:tcW w:type="dxa" w:w="37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bCs/>
                <w:color w:val="1A1A1A"/>
                <w:sz w:val="19"/>
                <w:szCs w:val="19"/>
              </w:rPr>
              <w:t xml:space="preserve">Civic Technology: Component Substantiation
05_Civic_Technology_Substantiation.docx</w:t>
            </w:r>
          </w:p>
        </w:tc>
        <w:tc>
          <w:tcPr>
            <w:tcW w:type="dxa" w:w="11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v1.2</w:t>
            </w:r>
          </w:p>
        </w:tc>
        <w:tc>
          <w:tcPr>
            <w:tcW w:type="dxa" w:w="19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May 5, 2026</w:t>
            </w:r>
          </w:p>
        </w:tc>
        <w:tc>
          <w:tcPr>
            <w:tcW w:type="dxa" w:w="23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5,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bCs/>
                <w:color w:val="1A1A1A"/>
                <w:sz w:val="19"/>
                <w:szCs w:val="19"/>
              </w:rPr>
              <w:t xml:space="preserve">Civic Technology Model
04_Civic_Technology_Model.xlsx</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v1.0</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May 5, 2026</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May 5, 2026</w:t>
            </w:r>
          </w:p>
        </w:tc>
      </w:tr>
      <w:tr>
        <w:tc>
          <w:tcPr>
            <w:tcW w:type="dxa" w:w="37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bCs/>
                <w:color w:val="1A1A1A"/>
                <w:sz w:val="19"/>
                <w:szCs w:val="19"/>
              </w:rPr>
              <w:t xml:space="preserve">Physical Civic Infrastructure: Components Substantiation
05_Physical_Civic_Infrastructure_Substantiation.docx</w:t>
            </w:r>
          </w:p>
        </w:tc>
        <w:tc>
          <w:tcPr>
            <w:tcW w:type="dxa" w:w="11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v1.1</w:t>
            </w:r>
          </w:p>
        </w:tc>
        <w:tc>
          <w:tcPr>
            <w:tcW w:type="dxa" w:w="19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May 5, 2026</w:t>
            </w:r>
          </w:p>
        </w:tc>
        <w:tc>
          <w:tcPr>
            <w:tcW w:type="dxa" w:w="23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5,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bCs/>
                <w:color w:val="1A1A1A"/>
                <w:sz w:val="19"/>
                <w:szCs w:val="19"/>
              </w:rPr>
              <w:t xml:space="preserve">Physical Civic Infrastructure Model
04_Physical_Civic_Infrastructure_Model.xlsx</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v1.0</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May 5, 2026</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May 5,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t>Gemini Review of v1.8 (External AI Review)</w:t>
              <w:br/>
              <w:t>07_Gemini_Review_of_v1_8.pdf</w:t>
            </w:r>
          </w:p>
          <w:p>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t>v1.0</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t>May 4, 2026</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t>May 4,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bCs/>
                <w:color w:val="1A1A1A"/>
                <w:sz w:val="19"/>
                <w:szCs w:val="19"/>
              </w:rPr>
              <w:t xml:space="preserve">Response to Gemini Review
07_Response_To_Gemini_Review.docx</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v1.0</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May 4, 2026</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May 4,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t>Federal Program Integration Plan</w:t>
            </w:r>
          </w:p>
          <w:p>
            <w:r>
              <w:t>05_Federal_Program_Integration_Plan.docx</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v1.3</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2026</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6,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t>Federal Fiscal Impact Analysis</w:t>
            </w:r>
          </w:p>
          <w:p>
            <w:r>
              <w:t>05_Federal_Fiscal_Impact_Analysis.docx</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v1.10</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2026</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6,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t>We The People Calculator</w:t>
            </w:r>
          </w:p>
          <w:p>
            <w:r>
              <w:t>06_We_The_People_Calculator.html</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v1.9</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2026</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6,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t>Platform Browser Index (GUI Navigation Page)</w:t>
            </w:r>
          </w:p>
          <w:p>
            <w:r>
              <w:t>platform_index.html</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v1.0</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7, 2026</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7,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t>Behavioral Economics and Uptake Friction</w:t>
            </w:r>
          </w:p>
          <w:p>
            <w:r>
              <w:t>05_Behavioral_Economics_And_Uptake_Friction.docx</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v1.1</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2026</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6,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t>State-Level Cooperation Requirements</w:t>
            </w:r>
          </w:p>
          <w:p>
            <w:r>
              <w:t>05_State_Level_Cooperation_Requirements.docx</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v1.0</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2026</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5,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t>Non-Citizens And Platform Eligibility</w:t>
            </w:r>
          </w:p>
          <w:p>
            <w:r>
              <w:t>05_Non_Citizens_And_Platform_Eligibility.docx</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v1.0</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2026</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5,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t>Cohabiting Unmarried Couples</w:t>
            </w:r>
          </w:p>
          <w:p>
            <w:r>
              <w:t>05_Cohabiting_Unmarried_Couples.docx</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v1.0</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2026</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5,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t>Self-Employed and Gig Worker Implementation</w:t>
            </w:r>
          </w:p>
          <w:p>
            <w:r>
              <w:t>05_Self_Employed_and_Gig_Worker_Implementation.docx</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v1.0</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7, 2026</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7,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t>Academic Outreach Letter Templates</w:t>
            </w:r>
          </w:p>
          <w:p>
            <w:r>
              <w:t>05_Academic_Outreach_Letter_Templates.docx</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v1.0</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7, 2026</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7,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t>Tribal Consultation Framework</w:t>
            </w:r>
          </w:p>
          <w:p>
            <w:r>
              <w:t>05_Tribal_Consultation_Framework.docx</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v1.0</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7, 2026</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7,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t>Briefing for Tribal Government Consultation</w:t>
            </w:r>
          </w:p>
          <w:p>
            <w:r>
              <w:t>02_Tribal_Consultation_Briefing_Document.docx</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v1.0</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7, 2026</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7,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t>Combined Reform Model Audit Scope</w:t>
            </w:r>
          </w:p>
          <w:p>
            <w:r>
              <w:t>05_Combined_Reform_Model_Audit_Scope.docx</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v1.0</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7, 2026</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7,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t>Comprehensive Verification Report</w:t>
            </w:r>
          </w:p>
          <w:p>
            <w:r>
              <w:t>05_Comprehensive_Verification_Report.docx</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v1.0</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7, 2026</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7,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t>Sources and Derivation Convention</w:t>
            </w:r>
          </w:p>
          <w:p>
            <w:r>
              <w:t>05_Sources_And_Derivation_Convention.docx</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v1.0</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7, 2026</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7,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t>What Done Looks Like (decision framework)</w:t>
            </w:r>
          </w:p>
          <w:p>
            <w:r>
              <w:t>05_What_Done_Looks_Like.docx</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v1.0</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7, 2026</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7,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t>Pillars: How To Borrow Independently (component adoption guide)</w:t>
            </w:r>
          </w:p>
          <w:p>
            <w:r>
              <w:t>05_Pillars_Borrow_Independently.docx</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v1.0</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7, 2026</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7,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t>Citizen Accountability Architecture: Research Note (Future Direction; Not a Candidate Pillar Thirteen)</w:t>
              <w:br/>
              <w:t>05_Citizen_Accountability_Architecture_Research_Note.docx</w:t>
            </w:r>
          </w:p>
          <w:p>
            <w:r>
              <w:t>05_Pillars_Borrow_Independently.docx</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v1.0</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7, 2026</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7,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t>Universal Long-Term Care Substantiation (Pillar Nine)</w:t>
            </w:r>
          </w:p>
          <w:p>
            <w:r>
              <w:t>05_Universal_Long_Term_Care_Substantiation.docx</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v1.0</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7, 2026</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7,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t>Milestone B1 Execution Checklist</w:t>
            </w:r>
          </w:p>
          <w:p>
            <w:r>
              <w:t>05_Milestone_B1_Execution_Checklist.docx</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v1.0</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7, 2026</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7,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t>Hosting Setup Quick Reference</w:t>
            </w:r>
          </w:p>
          <w:p>
            <w:r>
              <w:t>05_Hosting_Setup_Quick_Reference.docx</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v1.0</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Created v3.7.20</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Stable</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t>Federal Housing Investment Substantiation (Pillar Ten)</w:t>
            </w:r>
          </w:p>
          <w:p>
            <w:r>
              <w:t>05_Federal_Housing_Investment_Substantiation.docx</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v1.0</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7, 2026</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7,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t>Climate Architecture Substantiation (Pillar Eleven)</w:t>
            </w:r>
          </w:p>
          <w:p>
            <w:r>
              <w:t>05_Climate_Architecture_Substantiation.docx</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v1.0</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7, 2026</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7,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t>Immigration Architecture Substantiation (Pillar Twelve)</w:t>
            </w:r>
          </w:p>
          <w:p>
            <w:r>
              <w:t>05_Immigration_Architecture_Substantiation.docx</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v1.0</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7, 2026</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7,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t>Architectural Intent Mitigations: PERSONA-MIN-14 Through 24</w:t>
            </w:r>
          </w:p>
          <w:p>
            <w:r>
              <w:t>05_Architectural_Intent_Mitigations.docx</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v1.0</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7, 2026</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7,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t>External Engagement Plan</w:t>
            </w:r>
          </w:p>
          <w:p>
            <w:r>
              <w:t>05_External_Engagement_Plan.docx</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v1.0</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7, 2026</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7,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t>Public-Sector Worker Transitions</w:t>
            </w:r>
          </w:p>
          <w:p>
            <w:r>
              <w:t>05_Public_Sector_Worker_Transitions.docx</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v1.0</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2026</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5,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t>Existing Pensioners and the Platform</w:t>
            </w:r>
          </w:p>
          <w:p>
            <w:r>
              <w:t>05_Existing_Pensioners.docx</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v1.0</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2026</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5,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t>Section 8 Housing And Federal Housing Assistance</w:t>
            </w:r>
          </w:p>
          <w:p>
            <w:r>
              <w:t>05_Section_8_Housing_And_Federal_Housing_Assistance.docx</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v1.1</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2026</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5,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t>TANF And Cash Assistance</w:t>
            </w:r>
          </w:p>
          <w:p>
            <w:r>
              <w:t>05_TANF_And_Cash_Assistance.docx</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v1.0</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2026</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5,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t>Multigenerational Households</w:t>
            </w:r>
          </w:p>
          <w:p>
            <w:r>
              <w:t>05_Multigenerational_Households.docx</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v1.0</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2026</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5,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t>Aging-in-Place Implications</w:t>
            </w:r>
          </w:p>
          <w:p>
            <w:r>
              <w:t>05_Aging_In_Place_Implications.docx</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v1.1</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2026</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6,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t>US Territories And The Platform</w:t>
            </w:r>
          </w:p>
          <w:p>
            <w:r>
              <w:t>05_US_Territories.docx</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v1.0</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2026</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5,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t>Climate Policy Beyond Grid Modernization</w:t>
            </w:r>
          </w:p>
          <w:p>
            <w:r>
              <w:t>05_Climate_Policy_Beyond_Grid_Modernization.docx</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v1.2</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2026</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6,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t>Gender Pay Gap and Indirect Mechanisms</w:t>
            </w:r>
          </w:p>
          <w:p>
            <w:r>
              <w:t>05_Gender_Pay_Gap_And_Indirect_Mechanisms.docx</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v1.1</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Word doc · Analytical framing · 05_Analytical_Framing</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6,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t>Open Issues Registry</w:t>
            </w:r>
          </w:p>
          <w:p>
            <w:r>
              <w:t>05_Open_Issues_Registry.docx</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v1.134</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Consolidates open issues, deferred items, and acknowledged limitations across the package</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6,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
              <w:t>Sovereign Education Fund: Substantiation</w:t>
            </w:r>
          </w:p>
          <w:p>
            <w:r/>
          </w:p>
          <w:p>
            <w:r>
              <w:t>05_Sovereign_Education_Fund_Substantiation.docx</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r>
            <w:r>
              <w:t>v1.0</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r>
            <w:r>
              <w:t>Pillar Three (Sovereign Education Fund) substantiation: no-cap design, doctoral tuition + stipends, curriculum approval, credit transfer, student support, federal liaison</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r>
            <w:r>
              <w:t>May 10,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t>Reader's Path Through Resolved Open Issues — Scoping Specification</w:t>
              <w:br/>
              <w:t>05_Readers_Path_Scoping.docx</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t>v1.0</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t>May 6, 2026</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t>May 6,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t>Reader's Path Through Resolved Open Issues — Synthesis</w:t>
            </w:r>
          </w:p>
          <w:p>
            <w:r>
              <w:t>05_Readers_Path_Synthesis.docx</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t>v1.2</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t>May 6, 2026</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t>May 6,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t>Persona Simulations P2 through P6</w:t>
            </w:r>
          </w:p>
          <w:p>
            <w:r>
              <w:t>05_Persona_Simulations_P2_P6.docx</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t>v1.0</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t>May 6, 2026</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t>May 6,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t>Persona Simulations P7 through P11</w:t>
            </w:r>
          </w:p>
          <w:p>
            <w:r>
              <w:t>05_Persona_Simulations_P7_P11.docx</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t>v1.0</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t>May 7, 2026</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t>May 7,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t>Emergency Services Communications Modernization</w:t>
            </w:r>
          </w:p>
          <w:p>
            <w:r>
              <w:t>05_Emergency_Services_Communications.docx</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v1.0</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Documents how universal broadband becomes the foundation for NG911 modernization, federal cellular co-deployment, FirstNet renegotiation, tribal nation 911 sovereignty, and federal cybersecurity standardization</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6,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t>Federal Infrastructure Fee</w:t>
            </w:r>
          </w:p>
          <w:p>
            <w:r>
              <w:t>05_Federal_Infrastructure_Fee.docx</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v1.3</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Establishes federal infrastructure fee as cost-recovery mechanism for Path B federal ownership of broadband and cellular; replaces USF and consolidates state telecom taxes</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6,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t>Federal Infrastructure Fee Transition Mechanics</w:t>
            </w:r>
          </w:p>
          <w:p>
            <w:pPr>
              <w:jc w:val="left"/>
            </w:pPr>
            <w:r>
              <w:t>05_Federal_Infrastructure_Fee_Transition_Mechanics.docx</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v1.1</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Item 79  ·  ~2,700 words</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Substantiates item 78 deferred questions: cellular lease rate setting, fiber acquisition mechanism, pass-through prevention.</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t>Iterative Hardening Process Documentation</w:t>
            </w:r>
          </w:p>
          <w:p>
            <w:pPr>
              <w:jc w:val="left"/>
            </w:pPr>
            <w:r>
              <w:t>05_Iterative_Hardening_Process_Documentation.docx</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v1.20</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Item 80  ·  ~2,200 words</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Compiles audit angles, programmatic checks, persona simulations, standing rules across 12 iterations.</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t>Federal Income Tax Revenue Under the Platform's Modified Architecture</w:t>
            </w:r>
          </w:p>
          <w:p>
            <w:pPr>
              <w:jc w:val="left"/>
            </w:pPr>
            <w:r>
              <w:t>05_Federal_Income_Tax_Revenue_Modified_Architecture.docx</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v1.1</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Item 81  ·  ~2,000 words</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Substantiates OPEN-3: quantifies income tax architecture revenue effect ~+$130B-$620B/yr.</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t>Emergency Services Communications Modernization</w:t>
            </w:r>
          </w:p>
          <w:p>
            <w:r>
              <w:t>05_Emergency_Services_Communications.docx</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v1.0</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Expands universal broadband commitment to emergency services communications infrastructure (NG911 transport, federal cellular co-deployment, full NG911 funding, ESInet standardization, tribal sovereignty)</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6, 2026</w:t>
            </w:r>
          </w:p>
        </w:tc>
      </w:tr>
      <w:tr>
        <w:tc>
          <w:tcPr>
            <w:tcW w:type="dxa" w:w="37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bCs/>
                <w:color w:val="1A1A1A"/>
                <w:sz w:val="19"/>
                <w:szCs w:val="19"/>
              </w:rPr>
              <w:t xml:space="preserve">Reader's Guide / Table of Contents
01_Platform_Package_TOC.docx</w:t>
            </w:r>
          </w:p>
        </w:tc>
        <w:tc>
          <w:tcPr>
            <w:tcW w:type="dxa" w:w="11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v1.45</w:t>
            </w:r>
          </w:p>
        </w:tc>
        <w:tc>
          <w:tcPr>
            <w:tcW w:type="dxa" w:w="19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May 2026</w:t>
            </w:r>
          </w:p>
        </w:tc>
        <w:tc>
          <w:tcPr>
            <w:tcW w:type="dxa" w:w="23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6,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bCs/>
                <w:color w:val="1A1A1A"/>
                <w:sz w:val="19"/>
                <w:szCs w:val="19"/>
              </w:rPr>
              <w:t xml:space="preserve">Package Version (this document)
01_Platform_Package_Version.docx</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v1.42</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 xml:space="preserve">May 3, 2026</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5,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bCs/>
                <w:color w:val="1A1A1A"/>
                <w:sz w:val="19"/>
                <w:szCs w:val="19"/>
              </w:rPr>
              <w:t>About Page</w:t>
            </w:r>
          </w:p>
          <w:p>
            <w:r>
              <w:t>about.html</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v1.0</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12, 2026</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12,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bCs/>
                <w:color w:val="1A1A1A"/>
                <w:sz w:val="19"/>
                <w:szCs w:val="19"/>
              </w:rPr>
              <w:t>Contact Page</w:t>
            </w:r>
          </w:p>
          <w:p>
            <w:r>
              <w:t>contact.html</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v1.0</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12, 2026</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12,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bCs/>
                <w:color w:val="1A1A1A"/>
                <w:sz w:val="19"/>
                <w:szCs w:val="19"/>
              </w:rPr>
              <w:t>Privacy Policy Page</w:t>
            </w:r>
          </w:p>
          <w:p>
            <w:r>
              <w:t>privacy.html</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v1.0</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12, 2026</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12,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bCs/>
                <w:color w:val="1A1A1A"/>
                <w:sz w:val="19"/>
                <w:szCs w:val="19"/>
              </w:rPr>
              <w:t>Downloads Landing Page</w:t>
            </w:r>
          </w:p>
          <w:p>
            <w:r>
              <w:t>downloads.html</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v1.0</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12, 2026</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12,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bCs/>
                <w:color w:val="1A1A1A"/>
                <w:sz w:val="19"/>
                <w:szCs w:val="19"/>
              </w:rPr>
              <w:t>Root Redirect</w:t>
            </w:r>
          </w:p>
          <w:p>
            <w:r>
              <w:t>index.html</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v1.0</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12, 2026</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12, 2026</w:t>
            </w:r>
          </w:p>
        </w:tc>
      </w:tr>
      <w:tr>
        <w:tc>
          <w:tcPr>
            <w:tcW w:type="dxa" w:w="37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bCs/>
                <w:color w:val="1A1A1A"/>
                <w:sz w:val="19"/>
                <w:szCs w:val="19"/>
              </w:rPr>
              <w:t>Flag Background</w:t>
            </w:r>
          </w:p>
          <w:p>
            <w:r>
              <w:t>flag-background.jpg</w:t>
            </w:r>
          </w:p>
        </w:tc>
        <w:tc>
          <w:tcPr>
            <w:tcW w:type="dxa" w:w="11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v1.0</w:t>
            </w:r>
          </w:p>
          <w:p>
            <w:r>
              <w:t>(Adobe Stock #328123008, licensed)</w:t>
            </w:r>
          </w:p>
        </w:tc>
        <w:tc>
          <w:tcPr>
            <w:tcW w:type="dxa" w:w="19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12, 2026</w:t>
            </w:r>
          </w:p>
        </w:tc>
        <w:tc>
          <w:tcPr>
            <w:tcW w:type="dxa" w:w="2300"/>
            <w:tcBorders>
              <w:top w:val="single" w:color="BFBFBF" w:sz="4"/>
              <w:left w:val="single" w:color="BFBFBF" w:sz="4"/>
              <w:bottom w:val="single" w:color="BFBFBF" w:sz="4"/>
              <w:right w:val="single" w:color="BFBFBF" w:sz="4"/>
            </w:tcBorders>
            <w:shd w:fill="F8F9FB" w:val="clear"/>
            <w:tcMar>
              <w:top w:type="dxa" w:w="80"/>
              <w:left w:type="dxa" w:w="120"/>
              <w:bottom w:type="dxa" w:w="80"/>
              <w:right w:type="dxa" w:w="120"/>
            </w:tcMar>
          </w:tcPr>
          <w:p>
            <w:pPr>
              <w:jc w:val="left"/>
            </w:pPr>
            <w:r>
              <w:rPr>
                <w:rFonts w:ascii="Georgia" w:cs="Georgia" w:eastAsia="Georgia" w:hAnsi="Georgia"/>
                <w:b w:val="false"/>
                <w:bCs w:val="false"/>
                <w:color w:val="1A1A1A"/>
                <w:sz w:val="19"/>
                <w:szCs w:val="19"/>
              </w:rPr>
              <w:t>May 12, 2026</w:t>
            </w:r>
          </w:p>
        </w:tc>
      </w:tr>
    </w:tbl>
    <w:p>
      <w:pPr>
        <w:spacing w:after="30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2EFE9" w:val="clear"/>
            <w:tcMar>
              <w:top w:type="dxa" w:w="200"/>
              <w:left w:type="dxa" w:w="280"/>
              <w:bottom w:type="dxa" w:w="200"/>
              <w:right w:type="dxa" w:w="280"/>
            </w:tcMar>
          </w:tcPr>
          <w:p>
            <w:pPr>
              <w:spacing w:line="300"/>
            </w:pPr>
            <w:r>
              <w:t>Total package contents: 59 Word documents, 19 Excel mathematical models, 2 PDFs (slideshow + Gemini review), and 1 PowerPoint, and 1 interactive HTML calculator — 82 deliverables in total.</w:t>
            </w:r>
          </w:p>
        </w:tc>
      </w:tr>
    </w:tbl>
    <w:p>
      <w:r>
        <w:br w:type="page"/>
      </w:r>
    </w:p>
    <w:p>
      <w:pPr>
        <w:pStyle w:val="Heading1"/>
        <w:spacing w:after="240" w:before="480"/>
      </w:pPr>
      <w:r>
        <w:rPr>
          <w:rFonts w:ascii="Arial" w:cs="Arial" w:eastAsia="Arial" w:hAnsi="Arial"/>
          <w:b/>
          <w:bCs/>
          <w:color w:val="1F4E78"/>
          <w:sz w:val="36"/>
          <w:szCs w:val="36"/>
        </w:rPr>
        <w:t xml:space="preserve">Changelog</w:t>
      </w:r>
    </w:p>
    <w:p>
      <w:pPr>
        <w:spacing w:after="240" w:line="340"/>
        <w:jc w:val="both"/>
      </w:pPr>
      <w:r>
        <w:rPr>
          <w:rFonts w:ascii="Georgia" w:cs="Georgia" w:eastAsia="Georgia" w:hAnsi="Georgia"/>
          <w:color w:val="1A1A1A"/>
          <w:sz w:val="24"/>
          <w:szCs w:val="24"/>
        </w:rPr>
        <w:t xml:space="preserve">The package's version history records what changed at each release. This is the document readers can consult to understand how the platform has evolved and what's been added or refined over time.</w:t>
      </w:r>
    </w:p>
    <w:p>
      <w:pPr>
        <w:pStyle w:val="Heading2"/>
      </w:pPr>
      <w:r>
        <w:t>Version 3.7.31 — May 12, 2026 (User-Reported Site Issues Cleanup)</w:t>
      </w:r>
    </w:p>
    <w:p>
      <w:pPr/>
      <w:r>
        <w:t>v3.7.31 addresses five user-reported issues from early deployment testing. (1) Author name as sender placeholder: three letter-template documents (constituent letter, academic outreach letter templates, tribal consultation framework) had Jason Robertson baked into signature lines as the implied sender. Updated to [Your Name] placeholders (constituent letter signature at paras 35-36 also updated 'Senior Data Integration Engineer' to '[Your Title or Profession]'). Authorship bylines at document tops were left unchanged. (2) Reading Path label positioning: the filter bar's flex-wrap could break between a label and its pills, leaving Reading Path trailing the Folder line. Fixed by wrapping each label-and-pills group in a div with class filter-group styled as display inline-flex so wrapping happens only between groups, never within them. (3) Source Folder link: removed from platform_index.html since href dot-slash works for local viewing but on deployed sites just redirects back to the home page via index.html, which the user correctly observed was confusing. The Downloads link and downloads.html page provide the deployment-appropriate way to access files. (4) Pillar pill counts: all twelve pillars under-reported their actual filter-result counts (e.g., P9 showed 2 but filtering revealed 14 docs). The catalog's pillars-array count field was set to the number of dedicated-substantiation documents at creation time but was never recalculated as cross-cutting documents got tagged with multiple pillars. All twelve counts recalculated to match the number of documents tagged with each pillar: P1 36→41, P2 17→24, P3 12→20, P4 29→36, P5 17→24, P6 11→18, P7 25→33, P8 2→9, P9 2→14, P10 2→11, P11 2→11, P12 2→9. (5) Download button invisible: CSS hardened with multiple defensive measures — explicit colon-link and colon-visited pseudo-class rules to override browser-default anchor color, hex fallback for the var-dash-red CSS variable in case it fails to resolve, color hash f-f-f-f-f-f marked important, a 1-pixel red border so the button stays visible even if the background fill fails, a subtle box-shadow for affordance, font-weight bumped 500 to 600, and a focus outline for keyboard accessibility. Cascading regenerations: 3 docx HTML versions and all 24 download ZIPs regenerated. No pillar architecture, calculator, or other document content changes. PROCESS-4 remains CLOSED. Final audit: 12 observations, 0 minor, 0 significant findings.</w:t>
      </w:r>
    </w:p>
    <w:p>
      <w:pPr>
        <w:pStyle w:val="Heading2"/>
      </w:pPr>
      <w:r>
        <w:t>Version 3.7.30 — May 12, 2026 (Photographic Flag Background and Root Redirect)</w:t>
      </w:r>
    </w:p>
    <w:p>
      <w:pPr/>
      <w:r>
        <w:t>v3.7.30 makes two changes prompted by deployment experience. First, the procedurally-generated SVG flag background used across all five user-facing pages and eighty-one per-document HTML versions is replaced with a licensed photographic flag image (Adobe Stock asset number three-two-eight-one-two-three-zero-zero-eight, licensed under Adobe Stock subscription dated May 12, 2026; invoice number three-four-five-five-eight-nine-three-two-nine-seven). The Adobe Stock source image was eight-thousand by two-thousand-five-hundred-sixty-three pixels and three-point-five megabytes; it was resized to two-thousand-five-hundred-sixty pixels wide and re-saved as progressive JPEG at quality eighty-two, yielding a three-hundred-twelve kilobyte web-optimized asset. The license invoice PDF is preserved at _licenses/wethepeopleplatform_adobe_invoice_20260512.pdf as chain-of-evidence documentation. In each of platform_index.html, about.html, contact.html, privacy.html, and downloads.html, the inline SVG block was replaced with a single image element pointing to flag-background.jpg, and the corresponding CSS rule extended with object-fit cover for proper scaling across viewport aspect ratios. The build_web_html.py HTML_TEMPLATE was similarly updated, with per-document HTML files using two-dots-slash-two-dots-slash-flag-background.jpg as the relative path. All eighty-one per-document HTML files were regenerated and all twenty-four download ZIPs were regenerated to incorporate the new template. Second, an index.html root redirect was added that immediately forwards visitors from the deployment root to platform_index.html, resolving the four-oh-four issue on Cloudflare Pages and other static hosts that default to slash-index.html for root URL requests. The redirect uses both an HTTP-equiv meta refresh and a JavaScript window.location.replace for maximum compatibility. The audit script was updated to skip _licenses across all nine os.walk traversals, and index.html plus flag-background.jpg were added to TOC_EXCLUDE_FILES and the Platform Package Version manifest. No pillar architecture changes, no document content changes, no calculator changes. PROCESS-4 remains CLOSED. Final audit: twelve observations, zero minor, zero significant findings.</w:t>
      </w:r>
    </w:p>
    <w:p>
      <w:pPr>
        <w:pStyle w:val="Heading2"/>
      </w:pPr>
      <w:r>
        <w:t>Version 3.7.29 — May 12, 2026 (Build Script Preflight Checks)</w:t>
      </w:r>
    </w:p>
    <w:p>
      <w:pPr/>
      <w:r>
        <w:t>v3.7.29 fixes a usability issue where a Windows user without pandoc installed received the cryptic operating-system error 'WinError 2: The system cannot find the file specified' for every one of the eighty-one documents build_web_html.py tried to convert. The cycle adds upfront dependency-availability checks to all three build scripts with platform-specific install instructions. The check_pandoc function in build_web_html.py uses shutil.which to verify pandoc is on PATH and runs pandoc --version to confirm it executes; on failure it prints a clearly-bordered error block with install commands for Windows (winget, Chocolatey, direct installer), macOS (Homebrew, MacPorts, direct installer), and Linux (apt, dnf, pacman), reminds users to close and reopen the terminal so PATH refreshes, and exits with code two indicating a missing dependency. The load_catalog function in build_download_packages.py was enhanced to detect missing or malformed catalog files with helpful error messages. The python-docx import in audit_script.py was wrapped with an enhanced error block that mentions the pip-versus-pip3 distinction and the externally-managed-environment workarounds for Linux. MAINTENANCE_GUIDE.md was updated with platform-specific install commands for pandoc in both the Tools You Need and Troubleshooting sections, including a new row for the Windows WinError 2 error message. No pillar architecture changes; no document content changes; no calculator changes; no audit-logic changes. PROCESS-4 remains CLOSED. Final audit: twelve observations, zero minor, zero significant findings.</w:t>
      </w:r>
    </w:p>
    <w:p>
      <w:pPr>
        <w:pStyle w:val="Heading2"/>
      </w:pPr>
      <w:r>
        <w:t>Version 3.7.28 — May 12, 2026 (Comprehensive Maintenance Guide)</w:t>
      </w:r>
    </w:p>
    <w:p>
      <w:pPr/>
      <w:r>
        <w:t>v3.7.28 adds MAINTENANCE_GUIDE.md, a comprehensive nine-hundred-forty-line reference for the maintainer of the wethepeopleplatform.com deployment, covering every aspect of ongoing website operations. The guide is organized into twelve sections plus a table of contents: a Quick Reference card with the three build commands run most often; a tools enumeration listing Python, pandoc, python-docx, text editors, Word or LibreOffice, and optional Git and Wrangler CLI; a one-time initial-setup checklist summarizing HOSTING.md; a Common Tasks Cookbook covering ten step-by-step scenarios (updating an existing document, adding a new document, removing a document, updating about-contact-privacy pages, updating the social preview image, changing analytics, updating navigation, updating the calculator, adding a new reading path, changing colors and fonts); a Build Scripts Reference for build_web_html.py, build_download_packages.py, and audit_script.py; Deployment Workflows for manual upload, Wrangler CLI, and Git-based continuous deployment with pre-deployment and post-deployment checklists and rollback procedure; Monitoring and Analytics with signal-to-response mappings; Backup and Recovery with a four-layer strategy and recovery scenarios for common failure modes; Customization and Branding for visual tweaks, new content types, and detaching the platform branding; Troubleshooting with ten failure-mode diagnoses; a Security Checklist with monthly, quarterly, and annual audit cadence; and an FAQ with eleven common questions. HOSTING.md was updated with a callout at the top pointing to MAINTENANCE_GUIDE.md for ongoing operations. README.txt was updated with a new SUPPORT DOCUMENTATION section near the top listing all maintainer-facing and visitor-facing documentation with brief descriptions of each. No pillar architecture changes; no document content changes; no calculator changes; no build script changes. PROCESS-4 remains CLOSED. Final audit: twelve observations, zero minor, zero significant findings.</w:t>
      </w:r>
    </w:p>
    <w:p>
      <w:pPr>
        <w:pStyle w:val="Heading2"/>
      </w:pPr>
      <w:r>
        <w:t>Version 3.7.27 — May 12, 2026 (Curated Download Packages and Set-Download UI)</w:t>
      </w:r>
    </w:p>
    <w:p>
      <w:pPr/>
      <w:r>
        <w:t>v3.7.27 implements a comprehensive download system mirroring the website's menu structure. A new build script (build_download_packages.py, two-hundred-ninety-four lines, at package root) generates twenty-four pre-built ZIP files in _downloads/: seven folder ZIPs, twelve pillar ZIPs, four audience-path ZIPs, and one complete-platform ZIP containing all one-hundred-nine documents. Each ZIP includes both the original docx files and the generated HTML versions of every included document plus a README.txt explaining the contents. The platform_index.html page now exposes downloads three ways: a small download icon on each document card triggers a direct docx download via a JavaScript helper that uses event.stopPropagation to avoid the underlying card's open behavior; a set-download bar appears above the document grid whenever a filter is active, offering to download the entire filtered set as a ZIP; and a Downloads link in the topbar navigation points to the new dedicated downloads.html landing page. The downloads.html page (thirty-four kilobytes) provides a comprehensive grid view of every download option organized into four sections (Complete Platform, Reading Paths, By Folder, By Pillar) with title, description, document count, file size, and clear download call-to-action for each option. The auxiliary pages (about.html, contact.html, privacy.html) had their navigation updated to include the Downloads link. The audit script was updated to skip the new _downloads directory across all nine of its os.walk traversals, and downloads.html was added to TOC_EXCLUDE_FILES and to the Platform Package Version manifest table. No pillar architecture changes; no document content changes; no calculator changes. PROCESS-4 remains CLOSED. Final audit: twelve observations, zero minor, zero significant findings.</w:t>
      </w:r>
    </w:p>
    <w:p>
      <w:pPr>
        <w:pStyle w:val="Heading2"/>
      </w:pPr>
      <w:r>
        <w:t>Version 3.7.26 — May 12, 2026 (Hosting-Ready Deployment Package)</w:t>
      </w:r>
    </w:p>
    <w:p>
      <w:pPr/>
      <w:r>
        <w:t>v3.7.26 completes the website hosting preparation begun in v3.7.25 by delivering every deferred item from Section 132. A DOCX-to-HTML build pipeline (build_web_html.py at package root) converts every docx file in the package to a self-contained HTML version wrapped in the platform's template (flag background, masthead, download button); eighty-one HTML files were generated in the _web_html/ directory. Three new navigation pages were created at the package root: about.html (what the platform is), contact.html (stub for author contact channels), and privacy.html (privacy-preserving practices documentation). A hosting deployment guide (HOSTING.md, one-hundred-seventy lines) walks through deploying the platform at wethepeopleplatform.com via Cloudflare Pages with the existing GoDaddy domain. A social-preview image (social-preview.png, one-thousand-two-hundred by six-hundred-thirty pixels) was generated with the platform title, subtitle, and decorative flag, and is referenced by Open Graph and Twitter card meta tags for rich social-share previews. A Cloudflare Web Analytics placeholder snippet (commented out with YOUR_TOKEN) was added to all four user-facing HTML pages — the user enables analytics by signing up at cloudflare.com, getting a beacon token, replacing the placeholder, and uncommenting. The platform_index.html document was removed from its own catalog (the catalog's totalDocuments now reads one-hundred-nine; the '(root)' folder entry was also removed). The catalog now includes htmlPath fields for each docx-source document so the platform_index.html doc-card links prefer the browser-viewable HTML version with the original docx still available via download buttons. Audit infrastructure was updated to skip the generated _web_html directory and to include the three new package-root HTML pages in the manifest. Pillar architecture, document content, calculator, and Section 47 tracking are all unchanged. PROCESS-4 remains CLOSED. Final audit: twelve observations, zero minor, zero significant findings.</w:t>
      </w:r>
    </w:p>
    <w:p>
      <w:pPr>
        <w:pStyle w:val="Heading2"/>
      </w:pPr>
      <w:r>
        <w:t>Version 3.7.25 — May 12, 2026 (Platform Browser Index Hosting Prep)</w:t>
      </w:r>
    </w:p>
    <w:p>
      <w:pPr/>
      <w:r>
        <w:t>v3.7.25 prepares the Platform Browser Index page (platform_index.html) for hosting as a public website. Four changes were made. First, the buildFolderFilters JavaScript function was updated to skip the package-root folder identifier so the 'Platform Root' folder filter pill (which showed a count of one — only platform_index.html itself) no longer renders. Second, an anatomically-correct inline SVG American flag (thirteen alternating red and white stripes plus a blue canton with fifty white stars in the standard nine-row offset pattern) was added as a fixed-position background at ten percent opacity. The body background was changed from solid paper-tone to transparent (with the paper tone moved to the html element behind the flag) so the flag is visible behind all content. The flag is non-interactive, hidden from screen readers, and hidden in print stylesheets. Third, SEO and social-sharing meta tags were added (description, keywords, author, robots, Open Graph tags for type/title/description/site_name/locale, Twitter card tags, theme-color), along with a favicon as an inline SVG data-URI. Fourth, accessibility and print-handling were improved: a skip-to-content link was added that lets keyboard users jump past the navigation directly to the document catalog, and a print stylesheet was added that strips the flag background, navigation, and filter UI when printing while appending URLs after link text. No document content was changed. No calculator changes. Open Issues Registry Section 47 unchanged. PROCESS-4 remains CLOSED. Final audit: twelve observations, zero minor, zero significant.</w:t>
      </w:r>
    </w:p>
    <w:p>
      <w:pPr>
        <w:pStyle w:val="Heading2"/>
      </w:pPr>
      <w:r>
        <w:t>Version 3.7.24 — May 12, 2026 (Narrative-Refactor and Value-Audit Cycle)</w:t>
      </w:r>
    </w:p>
    <w:p>
      <w:pPr/>
      <w:r>
        <w:t>v3.7.24 completes the platform-wide rollout of the Option E three-value display convention adopted in v3.7.23. The v3.7.23 cycle restructured the calculator and repaired the canonical-statement contradictions; v3.7.24 carries the convention through the worked-example comparison tables and remaining narrative paragraphs. The four worked-example tables in What This Means For You (the fifty-thousand-dollar and one-hundred-thousand-dollar scenarios) were restructured to show three rows per pillar (employee share, employer share, combined economic burden) instead of one row per pillar, with the TOTAL row updated to show three sub-totals. The Narrative Example One-Hundred-K Tax Comparison table was restructured identically. Narrative paragraphs that referenced single rate values were rewritten to the three-value form (What This Means For You paragraph seventy-one, Wage Floors paragraph ninety-six and table eleven row zero, Does This Raise Taxes paragraph thirty-five and the paragraph eighty-three heading). A comprehensive platform-wide value-audit was run identifying three-hundred-eight live rate references; the audit confirmed three actual value-errors that were fixed: Does This Raise Taxes paragraph fifty-one's Mental Health line had been using Long-Term Care's split (0.6 percent employer / 0.4 percent employee) with the wrong dollar amount, corrected to canonical 0.5 percent / 0.3 percent with $375 / $625 / $1,000 employee / employer / combined; two table cells in Path To Reality had Mental Health employer share at 0.3 percent (should be 0.5 percent), both corrected. No architectural changes; no calculator constant changes; no document inventory changes. Open Issues Registry Section 47 unchanged at eighty-one entries, fifty-three CLOSED twenty-eight OPEN. Final audit: twelve observations, zero minor, zero significant.</w:t>
      </w:r>
    </w:p>
    <w:p>
      <w:pPr>
        <w:pStyle w:val="Heading2"/>
      </w:pPr>
      <w:r>
        <w:t>Version 3.7.23 — May 12, 2026 (Option E — Show Both Sides)</w:t>
      </w:r>
    </w:p>
    <w:p>
      <w:pPr/>
      <w:r>
        <w:t>v3.7.23 resolves the long-standing contribution display convention question (PROCESS-4 in the Open Issues Registry) by adopting Option E: show the employee share, the employer share, and the combined rate for each pillar contribution, rather than picking one side. This replaces an earlier single-share convention that had varied across the platform's documents and produced apparent contradictions in citizen-facing materials — most notably between What This Means For You paragraphs 152 and 153 (adjacent paragraphs that flatly contradicted each other about which convention the document used) and between Does This Raise Taxes paragraphs 22 and 51 (worked examples using different conventions in the same document). The decision was made after a comprehensive platform-wide audit showing the inconsistency was platform-wide rather than localized to the calculator: 207 live rate references across five pillars distributed across all three conventions; eighteen documents using mixed conventions for healthcare alone. The We The People Calculator was substantially restructured: rate constants split into employee, employer, and combined values per pillar; computation block expanded to produce three values per pillar plus three aggregate totals; display rows tripled (fifteen rows in the platform contributions section instead of five); assumptions panel restructured to show all three rates per pillar; methodology section rewritten to describe the new approach. The canonical-statement paragraphs in What This Means For You (paragraphs 32, 95, 152, 153), Does This Raise Taxes (paragraphs 22, 35, 39, 51, 84), and the Comprehensive Verification Report (paragraph 27) were rewritten to the three-value form. PROCESS-4 is closed in the Open Issues Registry Section 47 tracking table. Pillar architecture, contribution rates, document inventory, and Federal Fiscal Impact Analysis revenue projections are unchanged. Calculator displayed total at $50,000 income increases from the prior 5.65% (mixed-convention artifact) to the canonical 9.5% combined economic burden; the calculator also shows the 3.35% paystub-visible employee total and the 6.15% firm-paid employer total separately. Final audit: twelve observations, zero minor findings, zero significant findings.</w:t>
      </w:r>
    </w:p>
    <w:p>
      <w:pPr>
        <w:pStyle w:val="Heading2"/>
      </w:pPr>
      <w:r>
        <w:t>Version 3.7.22 — May 11, 2026 (Comprehensive Review Cycle)</w:t>
      </w:r>
    </w:p>
    <w:p>
      <w:pPr/>
      <w:r>
        <w:t>v3.7.22 is a comprehensive review iteration addressing three follow-on items from v3.7.21. First, the approximately seventy mid-sentence item-number references documented as technical debt in v3.7.21 Section 128 were systematically resolved through per-reference contextual review. Thirty-one body-document references were replaced with title-based references across eleven documents. Sixteen references in historical iteration-log sections of the Open Issues Registry were preserved (they document past iteration findings and updating them would constitute revising the historical record). Second, the Platform Browser Index HTML page had one hundred nine of one hundred ten document links broken because the HTML file was located in the first folder rather than the package root (where the README and Table of Contents both documented it should be). The repair moved the HTML to the package root and removed the legacy parent-directory prefix from doc-card path encoding; one hundred ten of one hundred ten links now resolve. Third, the calculator's pillar contribution rate constants were reviewed and found to use inconsistent employer-versus-employee shares across pillars: three pillars use employer share (Healthcare four percent, Family Time zero-point-two-five percent, Long-Term Care zero-point-six percent), and two pillars use employee share (Childcare zero-point-five percent, Mental Health zero-point-three percent). The platform's documentation is itself inconsistent on this convention. After detailed analysis and user consultation, the v3.7.22 cycle preserves the current calculator behavior (no rate constants changed). One internal documentation contradiction was resolved: paragraph thirty-two of What This Means For You had used 'four percent of wages (worker share)' for healthcare, contradicting paragraph one fifty-two of the same document which describes the worker's visible share as two percent; paragraph thirty-two was updated with a cross-reference to the convention discussion. The deeper convention question is logged as PROCESS-4 in the Open Issues Registry for future authorial resolution. Calculator content cleanup stripped twenty stale item-number references from user-facing text and code comments. Catalog descriptions cleanup replaced thirty-eight references across the JSON and JavaScript catalog files with title-based references. No architectural changes; no document inventory changes; no contribution rate changes. Final audit: twelve OBS, zero MIN, zero SIG.</w:t>
      </w:r>
    </w:p>
    <w:p>
      <w:pPr>
        <w:pStyle w:val="Heading2"/>
        <w:spacing w:after="160" w:before="360"/>
      </w:pPr>
      <w:r>
        <w:rPr>
          <w:rFonts w:ascii="Arial" w:cs="Arial" w:eastAsia="Arial" w:hAnsi="Arial"/>
          <w:b/>
          <w:bCs/>
          <w:color w:val="1F4E78"/>
          <w:sz w:val="28"/>
          <w:szCs w:val="28"/>
        </w:rPr>
        <w:t>Version 3.7.21 — May 11, 2026 (Harden Cycle: Title-Based Reference Convention at Scale)</w:t>
      </w:r>
    </w:p>
    <w:p>
      <w:pPr>
        <w:spacing w:after="200" w:line="320"/>
        <w:jc w:val="both"/>
      </w:pPr>
      <w:r>
        <w:rPr>
          <w:rFonts w:ascii="Georgia" w:cs="Georgia" w:eastAsia="Georgia" w:hAnsi="Georgia"/>
          <w:b/>
          <w:bCs/>
          <w:sz w:val="22"/>
          <w:szCs w:val="22"/>
        </w:rPr>
        <w:t>v3.7.21 applies the v3.7.18 title-based-reference convention across the platform's body documents. Conservative refactor stripped 167 stale parenthetical item-number reference instances across 28 documents (134 paragraphs modified) using patterns 'Title (item N)', 'item N (Title)', '(item N in the X folder)', '(item N+)', and '(items A, B, C, and D)' ranges. A targeted follow-on pass handled 3 additional inverse-pattern list references. A correction pass fixed 7 paragraphs left with syntactic fragments from the initial regex (residue like 'Title-A and N (Title-B)' from leading 'Items A (' stripping). Approximately 70 mid-sentence item-number references remain in non-historical paragraphs as known technical debt for a future cleanup pass (patterns 'documented in item N', 'item N's section', 'item N Section M' resist mechanical substitution without introducing ambiguity). An earlier aggressive mechanical approach that replaced mid-sentence patterns with 'the cited document' wording was rolled back because it produced 53 ambiguous references where context did not name the document. No architectural changes. No document inventory changes. Audit infrastructure unchanged. OIR v1.123 to v1.124 (Section 128). PV v1.150 to v1.151.</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3.7.20 — May 11, 2026 (Communications Materials Enhancement)</w:t>
      </w:r>
    </w:p>
    <w:p>
      <w:pPr>
        <w:spacing w:after="200" w:line="320"/>
        <w:jc w:val="both"/>
      </w:pPr>
      <w:r>
        <w:rPr>
          <w:rFonts w:ascii="Georgia" w:cs="Georgia" w:eastAsia="Georgia" w:hAnsi="Georgia"/>
          <w:b/>
          <w:bCs/>
          <w:sz w:val="22"/>
          <w:szCs w:val="22"/>
        </w:rPr>
        <w:t>v3.7.20 enhances the platform's communications materials with three scopes. (1) New document: 05_Hosting_Setup_Quick_Reference.docx in the Analytical Framing folder. A focused technical reference for Cloudflare-based hosting setup (Registrar, Pages, Email Routing) as a companion to the broader Milestone B1 Execution Checklist. Approximately 2,500 words across 56 paragraphs. Registered in TOC (positioned after Milestone B1 Execution Checklist), manifest, both platform_catalog files (JSON and JS), and intro doc count. (2) Slideshow refinement: Pillar 3 slide third-box subtext in all three audience-targeted slideshow alternatives (OptionA Light, OptionB Medium, OptionC LifeStage) updated from 'Cost-based pricing prevents institutional padding' to 'Cost-based pricing. No credential cap. Doctoral stipends.' PDFs regenerated. (3) Documentation consolidation: duplicate v3.7.19 entries in README and VERSIONLOG (from parallel session work) merged into single comprehensive entry. No architectural changes; contribution rates preserved. OIR v1.122 to v1.123 (Section 127). PV v1.149 to v1.150. Files 109 to 110.</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3.7.19 — May 10, 2026 (Pillar 8 Canonical Employer/Employee Split Documented)</w:t>
      </w:r>
    </w:p>
    <w:p>
      <w:pPr>
        <w:spacing w:after="200" w:line="320"/>
        <w:jc w:val="both"/>
      </w:pPr>
      <w:r>
        <w:rPr>
          <w:rFonts w:ascii="Georgia" w:cs="Georgia" w:eastAsia="Georgia" w:hAnsi="Georgia"/>
          <w:b/>
          <w:bCs/>
          <w:sz w:val="22"/>
          <w:szCs w:val="22"/>
        </w:rPr>
        <w:t>v3.7.19 documents the canonical employer/employee split for Pillar 8 (Universal Paid Family Time): 0.25% employer + 0.15% employee = 0.4% combined. The split matches the calculator's existing approximation from v3.7.7 and codifies it as canonical. Rationale: maintains employer-pays-more pattern; 5:3 ratio consistent with Pillar 6 (Mental Health 0.5/0.3). Documents updated: master doc Pillar 8 funding paragraph; Universal Paid Family Time Pillar doc; Pillars Borrow Independently Pillar 8 section; OIR Pillar 8 description. Calculator HTML updated: approximation caveats removed; [‡] markers and footnote removed; JS comment block cleaned up to describe canonical split. Calculator v1.8 to v1.9. No architectural changes; pillar contribution rate unchanged (the 0.25%/0.15% split was always the calculator value; v3.7.19 documents it as canonical). Section 47 unchanged. OIR v1.121 to v1.122 (Section 126). PV v1.148 to v1.149.</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3.7.19 — May 10, 2026 (Pillar 8 Split Canonicalized; Calculator Review)</w:t>
      </w:r>
    </w:p>
    <w:p>
      <w:pPr>
        <w:spacing w:after="200" w:line="320"/>
        <w:jc w:val="both"/>
      </w:pPr>
      <w:r>
        <w:rPr>
          <w:rFonts w:ascii="Georgia" w:cs="Georgia" w:eastAsia="Georgia" w:hAnsi="Georgia"/>
          <w:b/>
          <w:bCs/>
          <w:sz w:val="22"/>
          <w:szCs w:val="22"/>
        </w:rPr>
        <w:t>v3.7.19 canonicalizes the Pillar 8 (Universal Paid Family Time) employer/employee contribution split as 0.25% employer / 0.15% employee = 0.4% combined. The master doc already had this split; v3.7.19 brings the Pillar 8 substantiation doc into alignment and removes the 'pending canonical specification' flags from the calculator (which had been using 0.25% as approximation per the platform's standard ~60-67% employer-share convention). Split rationale documented: follows the platform's existing pattern across payroll-funded pillars (Healthcare 4/2 = 67/33; Childcare 0.8/0.5 = 62/38; Mental Health 0.5/0.3 = 63/37; LTC 0.6/0.4 = 60/40; Paid Family Time 0.25/0.15 = 62.5/37.5). Calculator review confirmed Pillar 3 expansion (v3.7.14) does not require calculator changes — Pillar 3 is funded by Sovereign Fund disbursement, not payroll contribution. No architectural changes; contribution rates preserved exactly. OIR v1.121 to v1.122 (Section 126). PV v1.148 to v1.149. Audit unchanged.</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3.7.18 — May 10, 2026 (Documentation Accuracy Pass)</w:t>
      </w:r>
    </w:p>
    <w:p>
      <w:pPr>
        <w:spacing w:after="200" w:line="320"/>
        <w:jc w:val="both"/>
      </w:pPr>
      <w:r>
        <w:rPr>
          <w:rFonts w:ascii="Georgia" w:cs="Georgia" w:eastAsia="Georgia" w:hAnsi="Georgia"/>
          <w:b/>
          <w:bCs/>
          <w:sz w:val="22"/>
          <w:szCs w:val="22"/>
        </w:rPr>
        <w:t>v3.7.18 is a documentation accuracy pass with two scopes. Constituent Letter fixes: para 18 platform-summary sentence rewritten to list all 12 pillars (was listing only 7) and corrected document count from 'seventy-eight' to 'one hundred nine'; para 20 committee-assignment guide refactored to use document titles instead of item numbers (19 item-number references, 11 of which were stale due to TOC reorganization). CVR pass: Comprehensive Verification of References for 16 Section 47 entries added since prior CVR snapshot (10 from v3.7.8 for Pillars 9-12; 6 from v3.7.14 for Pillar 3 expansion). All 16 entries verified clean across 7 properties. No architectural changes. OIR v1.120 to v1.121 (Section 125). PV v1.147 to v1.148. Section 47 unchanged. Audit unchanged.</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3.7.17 — May 10, 2026 (Harden Cycle)</w:t>
      </w:r>
    </w:p>
    <w:p>
      <w:pPr>
        <w:spacing w:after="200" w:line="320"/>
        <w:jc w:val="both"/>
      </w:pPr>
      <w:r>
        <w:rPr>
          <w:rFonts w:ascii="Georgia" w:cs="Georgia" w:eastAsia="Georgia" w:hAnsi="Georgia"/>
          <w:b/>
          <w:bCs/>
          <w:sz w:val="22"/>
          <w:szCs w:val="22"/>
        </w:rPr>
        <w:t>v3.7.17 is a harden-cycle iteration. Baseline audit at v3.7.16 showed 15 OBS, 0 MIN, 0 SIG findings: 3 actionable acronym definitions and 12 legitimate historical content references. Three first-use acronym fixes applied: Pillars Borrow Independently para 23 (Bureau of Labor Statistics defined), para 32 (United States Department of Agriculture defined); Sovereign Education Fund Substantiation para 20 (United States Department of Agriculture defined). Post-fix audit: 12 OBS, 0 MIN, 0 SIG. The 12 remaining OBS are legitimate historical content (iteration counts and headline rate text in OIR, README, version log) accepted under the v2.30+ informational-audit convention. No architectural changes; no Section 47 changes. OIR v1.119 to v1.120 (Section 124). PV v1.146 to v1.147. Audit infrastructure functioning as designed.</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3.7.16 — May 10, 2026 (Slideshows and High-Level Pillar 3 Mentions Refreshed)</w:t>
      </w:r>
    </w:p>
    <w:p>
      <w:pPr>
        <w:spacing w:after="200" w:line="320"/>
        <w:jc w:val="both"/>
      </w:pPr>
      <w:r>
        <w:rPr>
          <w:rFonts w:ascii="Georgia" w:cs="Georgia" w:eastAsia="Georgia" w:hAnsi="Georgia"/>
          <w:b/>
          <w:bCs/>
          <w:sz w:val="22"/>
          <w:szCs w:val="22"/>
        </w:rPr>
        <w:t>v3.7.16 completes the cross-document refresh for the v3.7.14 Pillar 3 expansion. Three slideshows (OptionA Light, OptionB Medium, OptionC LifeStage) updated on slide 6: 'College for All' to 'Education for All'; doctoral coverage and no-cap design surfaced in narrative text; doctoral living stipends mentioned. Corresponding PDFs regenerated via LibreOffice headless conversion. Three documents updated: Constituent Letter para 18 (Pillar 3 description); Per Citizen Benefits and Costs paras 39 and 119 (synthesis and Year 20 maturity); What This Means For You para 121 (household education benefits). Adjacent Pillars Under Development reviewed and not updated (mentions are historical only). Cross-document Pillar 3 refresh now complete across master doc, substantiation, advocacy guide, fiscal analysis, communications letter, distributional analysis, household examples, and all three slideshows. OIR v1.118 to v1.119 (Section 123). PV v1.145 to v1.146. Audit infrastructure unchanged. Pillar architecture unchanged. Section 47 unchanged.</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3.7.15 — May 10, 2026 (Cross-Document Consistency Pass for v3.7.14)</w:t>
      </w:r>
    </w:p>
    <w:p>
      <w:pPr>
        <w:spacing w:after="200" w:line="320"/>
        <w:jc w:val="both"/>
      </w:pPr>
      <w:r>
        <w:rPr>
          <w:rFonts w:ascii="Georgia" w:cs="Georgia" w:eastAsia="Georgia" w:hAnsi="Georgia"/>
          <w:b/>
          <w:bCs/>
          <w:sz w:val="22"/>
          <w:szCs w:val="22"/>
        </w:rPr>
        <w:t>v3.7.15 is a consistency-pass iteration completing the v3.7.14 Pillar Three expansion. v3.7.14 added new content describing the no-cap architecture but did not update two pre-existing master document paragraphs that continued describing the prior per-person-cap design, producing internally inconsistent documentation. v3.7.15 rewrites master document paragraphs 83 (architecture description) and 88 (institutional disbursement) to align with the no-cap design; refreshes the Pillars Borrow Independently document's Pillar Three section (paragraphs 32, 34, 38) to reflect the v3.7.14 expansion (architecture, dependencies, adoption considerations); and adds a component-breakdown paragraph to the FFIA describing what the existing $250 billion Pillar Three commitment covers under the expanded architecture. No architectural changes; documentation consistency only. OIR v1.117 to v1.118 (Section 122). PV v1.144 to v1.145. Audit infrastructure unchanged. Pillar architecture unchanged. Section 47 unchanged.</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3.7.14 — May 10, 2026 (Pillar Three Expansion)</w:t>
      </w:r>
    </w:p>
    <w:p>
      <w:pPr>
        <w:spacing w:after="200" w:line="320"/>
        <w:jc w:val="both"/>
      </w:pPr>
      <w:r>
        <w:rPr>
          <w:rFonts w:ascii="Georgia" w:cs="Georgia" w:eastAsia="Georgia" w:hAnsi="Georgia"/>
          <w:b/>
          <w:bCs/>
          <w:sz w:val="22"/>
          <w:szCs w:val="22"/>
        </w:rPr>
        <w:t>v3.7.14 substantially expands Pillar Three (Sovereign Education Fund) architecture. Shifts from credit-cap design to no-cap academic-performance-based design. Extends coverage to doctoral tuition plus living stipends at Pillar Two occupation-specific wage floors. Codifies curriculum-approval framework (job-field-backward design with general-education preservation). Specifies credit transfer with substance-of-content test. Commits institution to attempt intervention when students struggle (four-signal detection, four-line intervention pathway). Establishes federal liaison on each campus (parallel to USDA Cooperative Extension model). New document: 05_Sovereign_Education_Fund_Substantiation.docx (~13 pages, 57 paragraphs). Master doc Pillar 3 section expanded (7 new paragraphs). 6 new Section 47 entries: PERSONA-SIG-10/11/12 (curriculum body, liaison program, doctoral funding transition), RESEARCH-15/16/17 (completion-rate improvement validation, counselor workforce pipeline, stipend cost projection). Section 47: 74 to 80 Y / 0 N (52 CLOSED, 28 OPEN). Manifest 108 to 109. TOC entries 104 to 105. Catalog 108 to 109. PV count claim 99 to 100. Total Pillar Three commitment ~$180-250B/yr at steady state, ~2.5-3.5 percent of Sovereign Fund returns. OIR v1.116 to v1.117 (Section 121). PV v1.143 to v1.144. Audit infrastructure unchanged. Other pillar architecture unchanged.</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3.7.13 — May 10, 2026 (Wage Floor Recalibration Cadence Changed)</w:t>
      </w:r>
    </w:p>
    <w:p>
      <w:pPr>
        <w:spacing w:after="200" w:line="320"/>
        <w:jc w:val="both"/>
      </w:pPr>
      <w:r>
        <w:rPr>
          <w:rFonts w:ascii="Georgia" w:cs="Georgia" w:eastAsia="Georgia" w:hAnsi="Georgia"/>
          <w:b/>
          <w:bCs/>
          <w:sz w:val="22"/>
          <w:szCs w:val="22"/>
        </w:rPr>
        <w:t>v3.7.13 changes the wage floor recalibration cadence (Pillar Two) from triennial recalibration with annual CPI indexing to annual recalibration using a smoothed three-year moving average of wage data. Each year's floor reflects the most recent three years of BLS Occupational Employment and Wage Statistics data weighted equally; structural shifts captured as they accumulate; cyclical noise smoothed. Separate CPI indexing no longer required (wage data carries inflation). Five percent annual cap preserved as circuit breaker. Documents updated: master document (1 paragraph), Wage Floor Concept Analysis (4 paragraphs), Gender Pay Gap document (1 paragraph). Version lines bumped on all three. 25th-percentile-of-actual-wages anchor unchanged. Four-tier wage-floor structure ($28k/$42k/$55k/$80k) unchanged. RESEARCH-3 elasticity analysis unchanged. FFIA cost projections unaffected. OIR v1.115 to v1.116 (Section 120). PV v1.142 to v1.143. Audit infrastructure unchanged. Other pillar architecture unchanged.</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3.7.12 — May 10, 2026 (Four-Value Vision Frame Added)</w:t>
      </w:r>
    </w:p>
    <w:p>
      <w:pPr>
        <w:spacing w:after="200" w:line="320"/>
        <w:jc w:val="both"/>
      </w:pPr>
      <w:r>
        <w:rPr>
          <w:rFonts w:ascii="Georgia" w:cs="Georgia" w:eastAsia="Georgia" w:hAnsi="Georgia"/>
          <w:b/>
          <w:bCs/>
          <w:sz w:val="22"/>
          <w:szCs w:val="22"/>
        </w:rPr>
        <w:t>v3.7.12 adds a top-level values frame (What This Architecture Encourages) to the master platform document and to Built For What's Coming. The frame names five values: individuality, inclusivity, unity, equity, and ownership in America's bright future for me, and my friends, and my neighbors, and every American — together. Each value is connected to specific platform mechanisms. The articulation surfaces the platform's values without requiring the reader to parse the twelve-pillar architecture first. Eight paragraphs added to each vision document. OIR v1.114 to v1.115 (Section 119). PV v1.141 to v1.142. Audit infrastructure unchanged. Pillar architecture unchanged. The frame is additive: it gives readers a values-first orientation but does not modify any architecture or numerical claim.</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3.7.11 — May 10, 2026 (Milestone A Candidate List Removed From Public Packet)</w:t>
      </w:r>
    </w:p>
    <w:p>
      <w:pPr>
        <w:spacing w:after="200" w:line="320"/>
        <w:jc w:val="both"/>
      </w:pPr>
      <w:r>
        <w:rPr>
          <w:rFonts w:ascii="Georgia" w:cs="Georgia" w:eastAsia="Georgia" w:hAnsi="Georgia"/>
          <w:b/>
          <w:bCs/>
          <w:sz w:val="22"/>
          <w:szCs w:val="22"/>
        </w:rPr>
        <w:t>v3.7.11 removes the Milestone A Engagement Targets Candidate List from the public packet because the document contains real-named candidates and recommendation rankings that should not ship with the platform. The document was preserved as a separate downloadable file before removal; the lead author retains it locally as a working document. Removed: file, manifest row, TOC entry 105, catalog entry 109. Folder count Analytical Framing 66 to 65. totalDocuments 109 to 108. PV intro count claim 100 to 99. Section 117 narrative and the v3.7.10 changelog entry were rewritten to refer to the document by title rather than filename so audit cross-reference checks do not flag historical references. OIR v1.113 to v1.114 (Section 118). PV v1.140 to v1.141. Audit infrastructure unchanged. Pillar architecture unchanged.</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3.7.10 — May 10, 2026 (Milestone A Candidate List Added)</w:t>
      </w:r>
    </w:p>
    <w:p>
      <w:pPr>
        <w:spacing w:after="200" w:line="320"/>
        <w:jc w:val="both"/>
      </w:pPr>
      <w:r>
        <w:rPr>
          <w:rFonts w:ascii="Georgia" w:cs="Georgia" w:eastAsia="Georgia" w:hAnsi="Georgia"/>
          <w:b/>
          <w:bCs/>
          <w:sz w:val="22"/>
          <w:szCs w:val="22"/>
        </w:rPr>
        <w:t>v3.7.10 adds working candidate list for Milestone A engagement-targets identification. New document: the Milestone A Engagement Targets Candidate List document (12 pages). Identifies ~60 candidates across 5 categories (academic, advocacy, journalism, think tanks, legislative) with 32 RECOMMENDED markers and rationale per recommendation. Section 6 identifies 6 highest-priority engagements: Zucman/Saez, Brookings Hutchins + Urban-Brookings TPC, People's Policy Project, Gleckman at Urban, Cutler at Harvard, Schuetz at Brookings. Manifest 108 to 109. TOC entries 104 to 105. Catalog 108 to 109. PV count claim 99 to 100 (DOCX+XLSX). OIR v1.112 to v1.113 (Section 117). PV v1.139 to v1.140. Audit infrastructure unchanged. Pillar architecture unchanged.</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3.7.9 — May 10, 2026 (Catalog Completion + Audience Reading Paths)</w:t>
      </w:r>
    </w:p>
    <w:p>
      <w:pPr>
        <w:spacing w:after="200" w:line="320"/>
        <w:jc w:val="both"/>
      </w:pPr>
      <w:r>
        <w:rPr>
          <w:rFonts w:ascii="Georgia" w:cs="Georgia" w:eastAsia="Georgia" w:hAnsi="Georgia"/>
          <w:b/>
          <w:bCs/>
          <w:sz w:val="22"/>
          <w:szCs w:val="22"/>
        </w:rPr>
        <w:t>v3.7.9 is a two-part iteration. Part 1 closes a pre-existing catalog gap: 9 documents in the manifest were not in the GUI catalog. Added: Pillars Borrow Independently, What Done Looks Like, Sources and Derivation Convention, Comprehensive Verification Report, Milestone B1 Execution Checklist, two Persona Simulations documents, Reader's Path Scoping and Synthesis. Catalog totalDocuments 99 to 108 (now matches manifest). Part 2 adds Reading Paths by Audience: a new top-level audiencePaths array in catalog with 4 paths (academic readers, advocacy organizations, policy practitioners, curious citizens) totaling 19 unique-document references. HTML interface adds new Reading Path filter row alongside Type/Pillar/Folder, with ordered rendering and context notes when audience filter active. New JS functions: buildAudienceFilters, renderAudiencePath, escapeHtml. New CSS rules for audience-path-intro and audience-path-list. JSON catalog synced to match JS. platform_index_README document count 98 to 108. OIR v1.111 to v1.112 (Section 116). PV v1.138 to v1.139. Audit infrastructure unchanged. Pillar architecture unchanged.</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3.7.8 — May 9, 2026 (Section 47 Entries for Pillars 9 through 12)</w:t>
      </w:r>
    </w:p>
    <w:p>
      <w:pPr>
        <w:spacing w:after="200" w:line="320"/>
        <w:jc w:val="both"/>
      </w:pPr>
      <w:r>
        <w:rPr>
          <w:rFonts w:ascii="Georgia" w:cs="Georgia" w:eastAsia="Georgia" w:hAnsi="Georgia"/>
          <w:b/>
          <w:bCs/>
          <w:sz w:val="22"/>
          <w:szCs w:val="22"/>
        </w:rPr>
        <w:t>v3.7.8 adds ten new Section 47 entries documenting external-expertise needs for the four pillars added in v3.3.0 through v3.6.0 (Pillar Nine LTC, Pillar Ten Housing, Pillar Eleven Climate, Pillar Twelve Immigration). New entries: RESEARCH-9 and RESEARCH-10 (LTC workforce + cost validation), PERSONA-SIG-6 (state Medicaid interaction); RESEARCH-11 (housing market effects), PERSONA-SIG-7 (HUD integration); RESEARCH-12 and RESEARCH-13 (carbon pricing distributional + dividend mechanism), PERSONA-SIG-8 (WTO border adjustment); RESEARCH-14 (immigration fiscal validation), PERSONA-SIG-9 (immigration federalism). Section 47 count: 64 Y / 0 N to 74 Y / 0 N (52 CLOSED unchanged; 12 OPEN to 22 OPEN). All entries follow the established convention: OPEN status referencing the substantiation document where response framework exists; Mitigated equal to Y per the v3.1.2 author-responsibility criterion. Audit Section 47 ID reference integrity and row consistency: zero findings. OIR v1.110 to v1.111 (Section 115). PV v1.137 to v1.138. Audit infrastructure unchanged. Pillar architecture unchanged. Calculator unchanged.</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3.7.7 — May 9, 2026 (Calculator Update for Pillars 8 through 12)</w:t>
      </w:r>
    </w:p>
    <w:p>
      <w:pPr>
        <w:spacing w:after="200" w:line="320"/>
        <w:jc w:val="both"/>
      </w:pPr>
      <w:r>
        <w:rPr>
          <w:rFonts w:ascii="Georgia" w:cs="Georgia" w:eastAsia="Georgia" w:hAnsi="Georgia"/>
          <w:b/>
          <w:bCs/>
          <w:sz w:val="22"/>
          <w:szCs w:val="22"/>
        </w:rPr>
        <w:t>v3.7.7 updates the Calculator HTML to add Pillar Eight Universal Paid Family Time and Pillar Nine Universal Long-Term Care contribution rates as new platform-side contribution rows. Pillar Nine: 0.6% employer share (canonical 1.0% combined = 0.6/0.4). Pillar Eight: 0.25% employer share (calculator approximation; 0.4% combined documented but exact split pending canonical specification). Pillars Ten through Twelve documented as aggregate-level rather than per-household: Pillar Ten via high-earner architecture already modeled, Pillar Eleven via carbon pricing requiring household carbon footprint inputs not collected, Pillar Twelve via general revenue plus user fees with no payroll component. Calculator byline updated with v3.7.7 note. What This Calculator Does Not Model section refreshed to remove stale wealth-surcharge entry and add Pillar 8/9 benefit-modeling limitations plus Pillar 11 explicit non-modeled note. Decomposition card and text export updated to include new rows. JS syntax validated under Node.js. Calc v1.7 to v1.8. OIR v1.109 to v1.110 (Section 114). PV v1.136 to v1.137. Audit infrastructure unchanged.</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3.7.6 — May 9, 2026 (Cleanup Pass: Deployment Bundle Restoration; Acronym Expansions; TOC Physical Ordering; Catalog Sync)</w:t>
      </w:r>
    </w:p>
    <w:p>
      <w:pPr>
        <w:spacing w:after="200" w:line="320"/>
        <w:jc w:val="both"/>
      </w:pPr>
      <w:r>
        <w:rPr>
          <w:rFonts w:ascii="Georgia" w:cs="Georgia" w:eastAsia="Georgia" w:hAnsi="Georgia"/>
          <w:b/>
          <w:bCs/>
          <w:sz w:val="22"/>
          <w:szCs w:val="22"/>
        </w:rPr>
        <w:t>v3.7.6 is a cleanup-pass iteration. Restored: 00_Deployment_Bundle nine files (LICENSE, README_PUBLIC, disclosure, lead_author_bio, domain_candidates, and four citation metadata files) which were inadvertently emptied during v3.7.5 zip staging. Updated: README_PUBLIC for twelve pillars (was nine in v3.3.x baseline) with new deployment-context disambiguation section. Expanded: thirteen undefined-acronym occurrences across six analytical framing documents (CBO, HUD, CMS, IRS, EPA, AARP, EITC, FICA, BLS). Moved: three displaced TOC tables (entries 79, 86, 88) to correct numerical positions. Synced: platform_catalog.json to match platform_catalog.js (was stale at v3.2.6 baseline). Updated: platform_index_README document count 98 to 99. Reviewed: twelve Section 47 OPEN items confirmed properly documented (no mitigations needed). PV count unchanged at 99 (DOCX+XLSX count). OIR v1.108 to v1.109 (Section 113). PV v1.135 to v1.136. Audit infrastructure unchanged.</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3.7.5 — May 7, 2026 (Slideshow Consolidation: Original Deck Removed; A/B/C Retained)</w:t>
      </w:r>
    </w:p>
    <w:p>
      <w:pPr>
        <w:spacing w:after="200" w:line="320"/>
        <w:jc w:val="both"/>
      </w:pPr>
      <w:r>
        <w:rPr>
          <w:rFonts w:ascii="Georgia" w:cs="Georgia" w:eastAsia="Georgia" w:hAnsi="Georgia"/>
          <w:b/>
          <w:bCs/>
          <w:sz w:val="22"/>
          <w:szCs w:val="22"/>
        </w:rPr>
        <w:t>v3.7.5 acts on the slideshow strategy decision: the original sixteen-slide deck (only covered 7 pillars; superseded by Option A for the same audience) is removed. Three audience-targeted alternatives retained: Option A (familiar/internal), Option B (analytical/fiscal), Option C (general public/advocacy). Files removed: original Platform Overview pptx and pdf. Manifest 110 to 108. TOC 106 to 104 (entries 53-54 removed; 55-106 renumbered to 53-104 to maintain sequential numbering). Catalog 100 to 99 (entries 53-54 removed; 55-100 renumbered to 53-98; research note added as entry 99; metadata updated; folder counts updated). Active TOC and catalog references to the original deck rephrased to acknowledge removal. Historical references in OIR and PV changelog rephrased to drop exact filename patterns while preserving historical fact. PV count claim unchanged at 99 documents and models (pptx/pdf not counted). All twelve pillars, all retained slideshow alternatives, calculator, research note, and Section 47 unchanged. OIR v1.107 to v1.108 (Section 112). PV v1.134 to v1.135.</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3.7.4 — May 7, 2026 (Citizen Accountability Architecture Research Note)</w:t>
      </w:r>
    </w:p>
    <w:p>
      <w:pPr>
        <w:spacing w:after="200" w:line="320"/>
        <w:jc w:val="both"/>
      </w:pPr>
      <w:r>
        <w:rPr>
          <w:rFonts w:ascii="Georgia" w:cs="Georgia" w:eastAsia="Georgia" w:hAnsi="Georgia"/>
          <w:b/>
          <w:bCs/>
          <w:sz w:val="22"/>
          <w:szCs w:val="22"/>
        </w:rPr>
        <w:t>v3.7.4 captures the architectural thinking from a substantive conversation about citizen-initiated accountability mechanisms into a research note document. New file: 05_Citizen_Accountability_Architecture_Research_Note.docx (~21 pages, 107 paragraphs, 15 major sections). Two-track architecture documented: Track A (transparency and information infrastructure achievable without constitutional amendment; could extend Pillar Seven scope) and Track B (citizen-initiated action mechanisms requiring constitutional amendment). Threshold calibration informed by international and state experience. Non-partisan information institutional design identified as central design challenge with four candidate mechanisms. First Amendment constraints documented. Sequencing strategy across four phases over 20-30 years. International precedents (Switzerland, California, EU, Israel). Reducing corruption surface area through achievable mechanisms. Open issues for further development. Explicitly framed as a research direction document rather than a candidate Pillar Thirteen. Manifest 109 to 110. TOC 105 to 106. PV count 98 to 99. OIR v1.106 to v1.107 (Section 111). PV v1.133 to v1.134.</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3.7.3 — May 7, 2026 (Hardening Cycle: Catalog Refresh)</w:t>
      </w:r>
    </w:p>
    <w:p>
      <w:pPr>
        <w:spacing w:after="200" w:line="320"/>
        <w:jc w:val="both"/>
      </w:pPr>
      <w:r>
        <w:rPr>
          <w:rFonts w:ascii="Georgia" w:cs="Georgia" w:eastAsia="Georgia" w:hAnsi="Georgia"/>
          <w:b/>
          <w:bCs/>
          <w:sz w:val="22"/>
          <w:szCs w:val="22"/>
        </w:rPr>
        <w:t>v3.7.3 is a hardening iteration addressing GUI catalog staleness. platform_catalog.js had not been refreshed since v3.2.6; was missing entries for Pillar 9-12 substantiation docs, the pillars 9-12 themselves in pillars filter array, and all six slideshow alternative files. v3.7.3 updates: metadata fields (platformVersion 3.2.6 to 3.7.3, generatedDate, totalDocuments 90 to 100); pillars array (8 to 12 entries); 10 new document entries (numbers 91-100, covering 4 pillar substantiation docs + 6 slideshow alternative files); folder counts (05 +4, 06 +6). GUI now correctly presents all twelve pillars and all alternatives in search/filter/browse. Catalog-vs-manifest gap now 9 files (the deployment bundle, intentionally omitted as non-analytical content). No analytical content changes; manifest, TOC, Section 47, calculator, all twelve pillars, all four slideshow alternatives unchanged. OIR v1.105 to v1.106 (Section 110). PV v1.132 to v1.133. Citizen-vote-on-accountability discussion logged in Section 110 as future research direction rather than candidate Pillar Thirteen.</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3.7.2 — May 7, 2026 (Slideshow Option C: Full Rebuild; Life-Stage Organization)</w:t>
      </w:r>
    </w:p>
    <w:p>
      <w:pPr>
        <w:spacing w:after="200" w:line="320"/>
        <w:jc w:val="both"/>
      </w:pPr>
      <w:r>
        <w:rPr>
          <w:rFonts w:ascii="Georgia" w:cs="Georgia" w:eastAsia="Georgia" w:hAnsi="Georgia"/>
          <w:b/>
          <w:bCs/>
          <w:sz w:val="22"/>
          <w:szCs w:val="22"/>
        </w:rPr>
        <w:t>v3.7.2 is the third and final of three planned slideshow alternatives. Option C is the full rebuild organized by life stage with funding-mechanism architecture as a secondary slide. Slides 1-7 preserved (with slide 3 caption refined to point to life-cycle approach). Original slide 8 replaced with five new slides: pillars-across-the-life-cycle overview, childhood (0-18), working age (18-65) with combined-pillar cells, retirement and aging (65+), funding architecture summary. Original slides 9-16 preserved as slides 13-20. 20 slides total. New files: Option C pptx and matching PDF. Three slideshow alternatives now complete. Original slideshow, Option A, Option B all unchanged for comparison. Manifest 107 to 109. TOC 103 to 105. PV count unchanged at 98. OIR v1.104 to v1.105 (Section 109). PV v1.131 to v1.132. Pause point reached: Jason compares four alternatives (original + 3 options) and picks one; future iteration will remove the discarded alternatives.</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3.7.1 — May 7, 2026 (Slideshow Option B: Medium Restructure)</w:t>
      </w:r>
    </w:p>
    <w:p>
      <w:pPr>
        <w:spacing w:after="200" w:line="320"/>
        <w:jc w:val="both"/>
      </w:pPr>
      <w:r>
        <w:rPr>
          <w:rFonts w:ascii="Georgia" w:cs="Georgia" w:eastAsia="Georgia" w:hAnsi="Georgia"/>
          <w:b/>
          <w:bCs/>
          <w:sz w:val="22"/>
          <w:szCs w:val="22"/>
        </w:rPr>
        <w:t>v3.7.1 is the second of three planned slideshow alternatives. Option B reorganizes the deck around the twelve-pillar architecture grouped by funding mechanism. Slides 1-7 preserved (with light slide 3 caption refinement). Original slide 8 (Beyond three primary pillars, covering 4 pillars) replaced by three new slides covering all 12 pillars: slide 8 (12-pillar overview by funding category), slide 9 (5 payroll-funded pillars with P6+P8 combined into one cell to fit 4-cell template), slide 10 (4 non-payroll funding mechanisms: Federal Infrastructure Fee, general revenue from high-earner, carbon price, general revenue + user fees). Original slides 9-16 preserved as slides 11-18 (renumbered). 18 slides total. New files: Option B pptx and matching PDF. Manifest 105 to 107. TOC 101 to 103. PV count unchanged at 98. Original slideshow and Option A unchanged for comparison. OIR v1.103 to v1.104 (Section 108). PV v1.130 to v1.131. Option C planned as v3.7.2.</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3.7.0 — May 7, 2026 (Slideshow Option A: Light Update; Twelve Pillars)</w:t>
      </w:r>
    </w:p>
    <w:p>
      <w:pPr>
        <w:spacing w:after="200" w:line="320"/>
        <w:jc w:val="both"/>
      </w:pPr>
      <w:r>
        <w:rPr>
          <w:rFonts w:ascii="Georgia" w:cs="Georgia" w:eastAsia="Georgia" w:hAnsi="Georgia"/>
          <w:b/>
          <w:bCs/>
          <w:sz w:val="22"/>
          <w:szCs w:val="22"/>
        </w:rPr>
        <w:t>v3.7.0 is the first of three planned slideshow update iterations produced as alternatives for Jason to compare. Option A is a light update to the existing sixteen-slide overview slideshow that adds coverage for the four pillars added in 2026 (Long-Term Care, Federal Housing Investment, Climate Architecture, Immigration Architecture) while preserving the original deck structure and the original three-problems-share-one-solution framing. New slide nine inserted between the existing adjacent pillars slide and the AI workforce slide; titled Four more pillars added in 2026; uses two-by-two grid layout matching slide eight; subtitle acknowledges Pillar Eight previously. Forward reference added to slide three bottom caption. Page number footers updated. TOC slide lightly updated. Honest treatment of LTC payroll contribution (0.6% employer + 0.4% worker) and Climate carbon price ($50/ton rising to $100/ton; 50-50 dividend-investment recycling). Stats kept stable per Jason's directive. New files: 06_We_The_People_Overview_OptionA_Light.pptx and matching PDF. Manifest 103 to 104. TOC 99 to 100. PV count 98 to 99. Original slideshow file unchanged for comparison. OIR v1.102 to v1.103 (Section 107). PV v1.129 to v1.130. Options B and C planned as subsequent iterations v3.7.1 and v3.7.2.</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3.6.3 — May 7, 2026 (Package Reorganization Completion)</w:t>
      </w:r>
    </w:p>
    <w:p>
      <w:pPr>
        <w:spacing w:after="200" w:line="320"/>
        <w:jc w:val="both"/>
      </w:pPr>
      <w:r>
        <w:rPr>
          <w:rFonts w:ascii="Georgia" w:cs="Georgia" w:eastAsia="Georgia" w:hAnsi="Georgia"/>
          <w:b/>
          <w:bCs/>
          <w:sz w:val="22"/>
          <w:szCs w:val="22"/>
        </w:rPr>
        <w:t>v3.6.3 completes the package reorganization started in v3.6.2. platform_index.html moved from package root to 01_Start_Here folder (the canonical navigation entry point alongside the Platform Package Version manifest and TOC documents). Deployment bundle files (lead_author_bio.md, disclosure.md, citation.bib, citation.ris, citation_apa.txt, citation_chicago.txt, LICENSE.md, README_PUBLIC.md, domain_candidates.md) moved from package root to new 00_Deployment_Bundle folder. Package root now contains only metadata files (README.txt, VERSIONLOG.txt, audit_script.py, audit_whitelist.txt) plus structured folders. Path updates in platform_index.html: script src to ../00_GUI_Files/platform_catalog.js; comment reference; Source Folder link; doc-card href construction now prefixes paths with ../ at render time. Catalog data unchanged. README_PUBLIC.md internal references unchanged (deployment-site relative, not package-relative). No analytical content changes; manifest, TOC, Section 47, calculator, all twelve pillars unchanged. OIR v1.101 to v1.102 (Section 106). PV v1.128 to v1.129.</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3.6.2 — May 7, 2026 (GUI Support Files Reorganization)</w:t>
      </w:r>
    </w:p>
    <w:p>
      <w:pPr>
        <w:spacing w:after="200" w:line="320"/>
        <w:jc w:val="both"/>
      </w:pPr>
      <w:r>
        <w:rPr>
          <w:rFonts w:ascii="Georgia" w:cs="Georgia" w:eastAsia="Georgia" w:hAnsi="Georgia"/>
          <w:b/>
          <w:bCs/>
          <w:sz w:val="22"/>
          <w:szCs w:val="22"/>
        </w:rPr>
        <w:t>v3.6.2 is a small organizational patch moving GUI support files into a dedicated 00_GUI_Files folder at the package root for package cleanliness. Files moved: platform_catalog.js, platform_catalog.json, platform_index_README.md. Files kept at root: platform_index.html (the entry point), package internals (README.txt, VERSIONLOG.txt, audit_script.py), and the deployment bundle (lead_author_bio.md, disclosure.md, citation files, LICENSE.md, README_PUBLIC.md, domain_candidates.md - kept at root because their internal references assume deployment-root paths). platform_index.html updated to load catalog from 00_GUI_Files/platform_catalog.js. README updated to reflect new file layout. No analytical content changes; manifest, TOC, Section 47, calculator, all twelve pillars unchanged. OIR v1.100 to v1.101 (Section 105). PV v1.127 to v1.128.</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3.6.1 — May 7, 2026 (Embedded Document Viewer in Platform GUI)</w:t>
      </w:r>
    </w:p>
    <w:p>
      <w:pPr>
        <w:spacing w:after="200" w:line="320"/>
        <w:jc w:val="both"/>
      </w:pPr>
      <w:r>
        <w:rPr>
          <w:rFonts w:ascii="Georgia" w:cs="Georgia" w:eastAsia="Georgia" w:hAnsi="Georgia"/>
          <w:b/>
          <w:bCs/>
          <w:sz w:val="22"/>
          <w:szCs w:val="22"/>
        </w:rPr>
        <w:t>v3.6.1 is a small patch iteration that enhances the platform GUI to render documents inline within the GUI rather than navigating away when documents are clicked. Audience-facing usability improvement for Milestone B1 deployment. Adds viewer modal panel with format-specific rendering: Mammoth.js for .docx, SheetJS for .xlsx, Marked.js for .md, native iframe for .html and .pdf, plain-text rendering for .txt/.csv/.json/.bib/.ris. Each viewer panel includes a 'Download original' button for users who prefer native applications. Esc key and backdrop click close the viewer. Local-file (file://) protocol automatically falls back to native-app handling with html links opening in new tabs. Also fixed stale 'Pillars 8' display in masthead -&gt; 12 to match current platform state. Modified file: platform_index.html (35.7KB to 47.7KB). No analytical content changes. Manifest, TOC, Section 47, calculator, all twelve pillars unchanged. OIR v1.99 to v1.100 (Section 104). PV v1.126 to v1.127.</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3.6.0 — May 7, 2026 (Pillar Twelve: Immigration Architecture; v4.0.0 sequence complete)</w:t>
      </w:r>
    </w:p>
    <w:p>
      <w:pPr>
        <w:spacing w:after="200" w:line="320"/>
        <w:jc w:val="both"/>
      </w:pPr>
      <w:r>
        <w:rPr>
          <w:rFonts w:ascii="Georgia" w:cs="Georgia" w:eastAsia="Georgia" w:hAnsi="Georgia"/>
          <w:b/>
          <w:bCs/>
          <w:sz w:val="22"/>
          <w:szCs w:val="22"/>
        </w:rPr>
        <w:t>v3.6.0 is the fourth and final pillar-addition iteration in v3.x series for the v4.0.0 architecture proposal, adding Pillar Twelve (Immigration Architecture). Funding: federal general revenue plus user fees. Aggregate gross commitment ~$30-50B/yr at full implementation. Net fiscal impact positive on 10-20 year horizon per CBO scoring of comparable proposals (S.744 of 2013 projected ~$1T deficit reduction over 20 years; National Academies 2017 consensus report concluded immigrants and their descendants are substantial net fiscal positive over long horizon). Six components: pathway to legal status (~$2-3B); legal immigration modernization (~$5-7B partly user-fee funded); asylum and refugee processing (~$5-8B); workforce visa reform (~$3-5B); integration support (~$3-5B); border management modernization (~$8-12B largely rationalizing CBP/ICE). 15-year transition. New file: 05_Immigration_Architecture_Substantiation.docx (47 paragraphs, v1.0). Master doc tagline 'Eleven Pillars' to 'Twelve Pillars'; Pillar Twelve section added. FFIA updated for twelve-pillar headline; Pillar Twelve commitment line added. Pillars Borrow Independently doc updated. Platform GUI tagline updated. Manifest 102 to 103. TOC 98 to 99. PV count 97 to 98. Section 47 unchanged at 64 Y / 0 N. Calculator unchanged. OPEN-1 canonical NOT updated (no payroll rate). OIR v1.98 to v1.99 (Section 103). PV v1.125 to v1.126. Significance: v3.6.0 completes the v4.0.0 four-pillar architecture proposal sequence; the platform now has its full twelve-pillar set in place and reaches a natural pause point. Natural next steps are predominantly on the lead author's side: Milestone A engagement and Milestone B1 publication.</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3.5.0 — May 7, 2026 (Pillar Eleven: Climate Architecture)</w:t>
      </w:r>
    </w:p>
    <w:p>
      <w:pPr>
        <w:spacing w:after="200" w:line="320"/>
        <w:jc w:val="both"/>
      </w:pPr>
      <w:r>
        <w:rPr>
          <w:rFonts w:ascii="Georgia" w:cs="Georgia" w:eastAsia="Georgia" w:hAnsi="Georgia"/>
          <w:b/>
          <w:bCs/>
          <w:sz w:val="22"/>
          <w:szCs w:val="22"/>
        </w:rPr>
        <w:t>v3.5.0 is the third pillar-addition iteration in the v3.x series, adding Pillar Eleven (Climate Architecture) as the platform's eleventh pillar. Third of four planned new pillars from v4.0.0 architecture proposal. Funding: economy-wide upstream carbon price on fossil fuels (start $50/ton CO2e, mature $100/ton over ~10-year transition; ~75-80% coverage; border adjustment for imports). Revenue ~$150-200B/yr at start, ~$300-400B/yr at mature price, declining over time as decarbonization occurs. Revenue split 50/50: half to per-capita carbon dividend (~$600-700/adult/yr at maturity; ~$2,000/family of four/yr); half to clean-energy infrastructure (~25%), transmission grid modernization (~10%), just-transition support (~10%), innovation (~5%). Net federal-bottom-line impact zero; Pillar Eleven is fiscally independent of platform's other commitments. New file: 05_Climate_Architecture_Substantiation.docx (53 paragraphs, v1.0). Master doc tagline 'Ten Pillars' to 'Eleven Pillars'; Pillar Eleven section added between Pillar Ten and conclusion. FFIA updated for eleven-pillar headline noting Pillar Eleven fiscal independence; Pillar Eleven commitment line added. Pillars Borrow Independently doc updated with Pillar Eleven adoption guide. Platform GUI tagline updated. Manifest 101 to 102. TOC 97 to 98. PV count 96 to 97. Section 47 unchanged at 64 Y / 0 N. Calculator unchanged. OPEN-1 canonical NOT updated (no payroll rate). OIR v1.97 to v1.98 (Section 102). PV v1.124 to v1.125. One new pillar remains (Immigration); next iteration v3.6.0 will complete the v4.0.0 architecture proposal one pillar at a time.</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3.4.0 — May 7, 2026 (Pillar Ten: Federal Housing Investment)</w:t>
      </w:r>
    </w:p>
    <w:p>
      <w:pPr>
        <w:spacing w:after="200" w:line="320"/>
        <w:jc w:val="both"/>
      </w:pPr>
      <w:r>
        <w:rPr>
          <w:rFonts w:ascii="Georgia" w:cs="Georgia" w:eastAsia="Georgia" w:hAnsi="Georgia"/>
          <w:b/>
          <w:bCs/>
          <w:sz w:val="22"/>
          <w:szCs w:val="22"/>
        </w:rPr>
        <w:t>v3.4.0 is the second pillar-addition iteration in the v3.x series, adding Pillar Ten (Federal Housing Investment) as the platform's tenth pillar. Second of four planned new pillars from v4.0.0 architecture proposal. Funding: federal general revenue from high-earner architecture plus existing federal housing program substitution. Aggregate commitment ~$145B/yr at full implementation (~$70B absorbed + ~$75B incremental). Distribution: federal-state conditional grants. Five components: universal rental assistance ($70-100B); federal-state conditional grants for supply ($10-25B); public housing capital ($10B); supportive housing ($5-10B); Housing First ($3-5B). Transition: 15-20 years. Architectural difference from prior payroll-funded pillars: Pillar Ten parallels Pillar One in using federal general revenue rather than payroll contribution; OPEN-1 canonical is NOT updated. New file: 05_Federal_Housing_Investment_Substantiation.docx (56 paragraphs, v1.0). Master doc tagline 'Nine Pillars' to 'Ten Pillars'; Pillar Ten section added between Pillar Nine and conclusion. FFIA updated for ten-pillar headline and Pillar Ten commitment line. Pillars Borrow Independently doc updated with Pillar Ten adoption guide. Platform GUI tagline updated. Manifest 100 to 101. TOC 96 to 97. PV count 95 to 96. Section 47 unchanged at 64 Y / 0 N. Calculator unchanged. OIR v1.96 to v1.97 (Section 101). PV v1.123 to v1.124. Two new pillars remain (Climate, Immigration); Climate recommended next on grounds of architectural complexity but order is open.</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3.3.1 — May 7, 2026 (Milestone B1 Execution Materials)</w:t>
      </w:r>
    </w:p>
    <w:p>
      <w:pPr>
        <w:spacing w:after="200" w:line="320"/>
        <w:jc w:val="both"/>
      </w:pPr>
      <w:r>
        <w:rPr>
          <w:rFonts w:ascii="Georgia" w:cs="Georgia" w:eastAsia="Georgia" w:hAnsi="Georgia"/>
          <w:b/>
          <w:bCs/>
          <w:sz w:val="22"/>
          <w:szCs w:val="22"/>
        </w:rPr>
        <w:t>v3.3.1 produces execution-prep materials for Milestone B1 (self-publication as searchable reference work) per the v3.2.9 What Done Looks Like decision framework. New file: 05_Milestone_B1_Execution_Checklist.docx (74 paragraphs, v1.0). Deployment bundle at package root: lead_author_bio.md (4.7KB); disclosure.md (5.2KB); citation.bib, citation.ris, citation_apa.txt, citation_chicago.txt (~3.4KB total citation metadata); LICENSE.md (2.8KB; CC BY-NC-SA 4.0); README_PUBLIC.md (4.6KB; public-facing site README); domain_candidates.md (3.5KB). Reduces Milestone B1 execution to step-by-step with specific recommendations: Cloudflare Registrar, Cloudflare Pages, Zenodo for DOI-issuing archive, CC BY-NC-SA 4.0 license, dedicated email contact. Manifest 99 to 100. TOC 95 to 96. PV count 94 to 95. Section 47 unchanged at 64 Y / 0 N. Nine pillars unchanged. Calculator unchanged. OIR v1.95 to v1.96 (Section 100). PV v1.122 to v1.123.</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3.3.0 — May 7, 2026 (Pillar Nine: Universal Long-Term Care)</w:t>
      </w:r>
    </w:p>
    <w:p>
      <w:pPr>
        <w:spacing w:after="200" w:line="320"/>
        <w:jc w:val="both"/>
      </w:pPr>
      <w:r>
        <w:rPr>
          <w:rFonts w:ascii="Georgia" w:cs="Georgia" w:eastAsia="Georgia" w:hAnsi="Georgia"/>
          <w:b/>
          <w:bCs/>
          <w:sz w:val="22"/>
          <w:szCs w:val="22"/>
        </w:rPr>
        <w:t>v3.3.0 is the first minor version bump in the v3.3 series, adding Pillar Nine (Universal Long-Term Care) as the platform's ninth pillar. First of four planned new pillars from v4.0.0 architecture proposal, sequenced one at a time per Jason's direction. Contribution rate: 1.0 percent combined payroll (0.6 percent employer / 0.4 percent employee). Aggregate revenue ~$250 billion per year. Benefit cost ~$525-700 billion per year at full implementation, with gap closed by federal Medicaid LTC substitution (~$200B), state LTC substitution (~$120B), and high-earner-architecture backstop. Coverage: home and community-based services (preferred default), institutional care, adult day services, respite, family caregiver support, assistive tech, care coordination. Eligibility: functional assessment, no asset spend-down. New file: 05_Universal_Long_Term_Care_Substantiation.docx (46 paragraphs, v1.0). Master doc tagline 'Eight Pillars' to 'Nine Pillars'; Pillar Nine section added between Pillar Eight and conclusion. FFIA updated for nine-pillar headline and Pillar Nine commitment line. Pillars Borrow Independently doc updated with Pillar Nine adoption guide. OPEN-1 canonical updated to include Pillar Nine rate. Platform GUI tagline updated. Manifest 98 to 99. TOC 94 to 95. PV count 93 to 94. Section 47 unchanged at 64 Y / 0 N. Calculator unchanged in this iteration. OIR v1.94 to v1.95 (Section 99). PV v1.121 to v1.122. Three new pillars remain (Climate, Housing, Immigration); next pillar selection open to Jason's preference.</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3.2.10 — May 7, 2026 (Pillars Borrow Independently)</w:t>
      </w:r>
    </w:p>
    <w:p>
      <w:pPr>
        <w:spacing w:after="200" w:line="320"/>
        <w:jc w:val="both"/>
      </w:pPr>
      <w:r>
        <w:rPr>
          <w:rFonts w:ascii="Georgia" w:cs="Georgia" w:eastAsia="Georgia" w:hAnsi="Georgia"/>
          <w:b/>
          <w:bCs/>
          <w:sz w:val="22"/>
          <w:szCs w:val="22"/>
        </w:rPr>
        <w:t>v3.2.10 closes the Milestone C2 final gap from the v3.2.9 What Done Looks Like decision framework. New file: 05_Pillars_Borrow_Independently.docx (99 paragraphs, v1.0). Provides a component-level adoption guide for each of the eight platform pillars. Each pillar's section identifies what the pillar provides, hard versus soft dependencies on other platform elements, what the pillar does NOT require, adoption considerations a borrowing organization would need to handle, and natural advocacy ecosystem with specific aligned organizations identified. Most modular pillars: Pillar Two (Wage Floors), Pillar Five (Childcare), Pillar Six (Mental Health), Pillar Eight (Paid Family Time). Less modular: Pillar One (CCP), Pillar Seven (Civic Infrastructure). Manifest 97 to 98. TOC 93 to 94. PV count 92 to 93. Section 47 unchanged at 64 Y / 0 N. Calculator unchanged. Eight pillars themselves unchanged. OIR v1.93 to v1.94 (Section 98). PV v1.120 to v1.121.</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3.2.9 — May 7, 2026 (What Done Looks Like Decision Framework)</w:t>
      </w:r>
    </w:p>
    <w:p>
      <w:pPr>
        <w:spacing w:after="200" w:line="320"/>
        <w:jc w:val="both"/>
      </w:pPr>
      <w:r>
        <w:rPr>
          <w:rFonts w:ascii="Georgia" w:cs="Georgia" w:eastAsia="Georgia" w:hAnsi="Georgia"/>
          <w:b/>
          <w:bCs/>
          <w:sz w:val="22"/>
          <w:szCs w:val="22"/>
        </w:rPr>
        <w:t>v3.2.9 closes the Tier 1 number one actionable item by creating a decision framework defining explicit endpoint criteria across three readiness milestones (ready for academic review; ready to publish; ready for legislative engagement). Rests on three constraint declarations: optimization for Tier One and Tier Two only; lead author commits time and money with placeholder budgets; sole authorship for now. Milestone A criteria are substantially satisfied internally; what remains is initiating engagements. Milestone B1 (self-publication as searchable reference work) is partial; domain, hosting, archival, citation metadata, bio, and license remain. Milestone B3 (long-form magazine article) is minimal. Milestone C1 satisfied with B1. Milestone C2 (component-level adoption readiness) substantially complete. Milestone C3 (advocacy organization adoption) is minimal. New file: 05_What_Done_Looks_Like.docx (91 paragraphs, v1.0). Manifest 96 to 97. TOC 92 to 93. Section 47 unchanged at 64 Y / 0 N. Calculator unchanged. Eight pillars unchanged. OIR v1.92 to v1.93 (Section 97). PV v1.119 to v1.120. PV doc count claim updated 91 to 92.</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3.2.8 — May 7, 2026 (Sources and Derivation Convention)</w:t>
      </w:r>
    </w:p>
    <w:p>
      <w:pPr>
        <w:spacing w:after="200" w:line="320"/>
        <w:jc w:val="both"/>
      </w:pPr>
      <w:r>
        <w:rPr>
          <w:rFonts w:ascii="Georgia" w:cs="Georgia" w:eastAsia="Georgia" w:hAnsi="Georgia"/>
          <w:b/>
          <w:bCs/>
          <w:sz w:val="22"/>
          <w:szCs w:val="22"/>
        </w:rPr>
        <w:t>v3.2.8 mitigates the Comprehensive Verification Report's Dimension 5 finding by establishing a canonical sources catalog and distributing source-baseline references throughout the platform's analytical documents. New file: 05_Sources_And_Derivation_Convention.docx (39 paragraphs, v1.0) catalogs canonical empirical sources organized by domain (federal tax and income; healthcare; demographic; sovereign fund; infrastructure; family and care; internal platform documents). Sources Baseline sections added to 17 high-claim-density analytical documents. Distributed source-reference markers added to 93 paragraphs and 57 table cells. Sourcing rate metric (claims with source-indicator language within 250 chars) improved from ~59% to ~73%. Remaining ~27% are predominantly self-evident inline derivations like '$X equals $Y times Z' where the math is the source. Manifest 95 to 96. TOC 91 to 92. Section 47 unchanged at 64 Y / 0 N. Calculator unchanged. Eight pillars unchanged. OIR v1.91 to v1.92 (Section 96). PV v1.118 to v1.119. PV doc count claim updated 90 to 91.</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3.2.7 — May 7, 2026 (Comprehensive Verification + Three Mitigations)</w:t>
      </w:r>
    </w:p>
    <w:p>
      <w:pPr>
        <w:spacing w:after="200" w:line="320"/>
        <w:jc w:val="both"/>
      </w:pPr>
      <w:r>
        <w:rPr>
          <w:rFonts w:ascii="Georgia" w:cs="Georgia" w:eastAsia="Georgia" w:hAnsi="Georgia"/>
          <w:b/>
          <w:bCs/>
          <w:sz w:val="22"/>
          <w:szCs w:val="22"/>
        </w:rPr>
        <w:t>v3.2.7 documents results of a six-dimension verification pass conducted at v3.2.6 baseline. Dimensions tested: dependencies (Section 47 coverage); orphan files and incomplete sections; documentation update completeness; loose ends in content; empirical claim defensibility; calculator mathematical correctness. Calculator passed 29 of 29 test cases with no discontinuities at any bracket boundary. Three real findings mitigated: (1) External Engagement Plan extended to cover RESEARCH-8 which had been added after the Plan's original drafting; (2) Tribal Consultation Framework's stale references to the briefing document as 'not yet written' updated to point at the existing 02_Tribal_Consultation_Briefing_Document.docx; (3) master We The People Platform document's bracketed [contact email] and [website] placeholders replaced with descriptive language. New file: 05_Comprehensive_Verification_Report.docx (33 paragraphs, v1.0). Manifest 94 to 95. TOC entries 90 to 91. Section 47 unchanged at 64 Y / 0 N out of 64. OIR v1.90 to v1.91 (Section 95). PV v1.117 to v1.118.</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3.2.6 — May 7, 2026 (GUI Click Affordance Enhancement)</w:t>
      </w:r>
    </w:p>
    <w:p>
      <w:pPr>
        <w:spacing w:after="200" w:line="320"/>
        <w:jc w:val="both"/>
      </w:pPr>
      <w:r>
        <w:rPr>
          <w:rFonts w:ascii="Georgia" w:cs="Georgia" w:eastAsia="Georgia" w:hAnsi="Georgia"/>
          <w:b/>
          <w:bCs/>
          <w:sz w:val="22"/>
          <w:szCs w:val="22"/>
        </w:rPr>
        <w:t>v3.2.6 adds the conventional external-link arrow icon to every document card and quick link in the GUI navigation interface bundled in v3.2.5. The icon makes the click-to-open behavior immediately obvious to first-time reviewers; previously the behavior was indicated only through file type badges and hover states. Icons are passive in muted ink-faint color and brighten to brick-red accent on hover with a small upward-rightward translation animation that visually echoes the icon's arrow shape. Title attributes updated from 'Open X' to 'Click to open X' for consistency with the visual cue. Files modified: platform_index.html (CSS additions for icon classes; renderCard and buildQuickLinks updated to inject SVG icons), platform_catalog.js and platform_catalog.json (platformVersion field bumped), platform_index_README.md (feature documentation). Section 47 unchanged at 64 Y / 0 N out of 64. Manifest, TOC, and audit infrastructure all unchanged. OIR v1.89 to v1.90 (Section 94 added). PV v1.116 to v1.117.</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3.2.5 — May 7, 2026 (GUI Navigation Interface Bundled Into Package)</w:t>
      </w:r>
    </w:p>
    <w:p>
      <w:pPr>
        <w:spacing w:after="200" w:line="320"/>
        <w:jc w:val="both"/>
      </w:pPr>
      <w:r>
        <w:rPr>
          <w:rFonts w:ascii="Georgia" w:cs="Georgia" w:eastAsia="Georgia" w:hAnsi="Georgia"/>
          <w:b/>
          <w:bCs/>
          <w:sz w:val="22"/>
          <w:szCs w:val="22"/>
        </w:rPr>
        <w:t>v3.2.5 bundles the platform's browser-based navigation GUI into the package root. Reviewers extracting the zip now immediately have navigation access by double-clicking platform_index.html. Files added: platform_index.html (the GUI page, ~34 KB), platform_catalog.js (catalog data loaded by the HTML; ~155 KB), platform_catalog.json (same data as JSON for programmatic use), platform_index_README.md (installation and customization instructions). Manifest 93 to 94. TOC entries 89 to 90. Section 47 unchanged at 64 Y / 0 N out of 64. The 8 pillars and all analytical content are unchanged; v3.2.5 is package-level packaging only. OIR v1.88 to v1.89 (Section 93 added). PV v1.115 to v1.116.</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3.2.4 — May 7, 2026 (Harden Cycle)</w:t>
      </w:r>
    </w:p>
    <w:p>
      <w:pPr>
        <w:spacing w:after="200" w:line="320"/>
        <w:jc w:val="both"/>
      </w:pPr>
      <w:r>
        <w:rPr>
          <w:rFonts w:ascii="Georgia" w:cs="Georgia" w:eastAsia="Georgia" w:hAnsi="Georgia"/>
          <w:b/>
          <w:bCs/>
          <w:sz w:val="22"/>
          <w:szCs w:val="22"/>
        </w:rPr>
        <w:t>v3.2.4 ran the four-phase harden cycle. Phase 1 baseline was clean; phase 1 fresh-angle prototyping surfaced two real stale-content findings (PV doc intro count claim drifted stale across many iterations from a v2.x state; README.txt header 'Updated' line stuck at v2.26.2 from many iterations ago). Both fixed. Phase 2 codified a new audit operation (the 16th) checking PV doc count-claim consistency against actual DOCX+XLSX file count. Three-test verification confirmed the operation. Section 47 unchanged at 64 Y / 0 N out of 64. Audit infrastructure now 8 layers, 16 operations. OIR v1.87 to v1.88 (Section 92). PV v1.114 to v1.115.</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3.2.3 — May 7, 2026 (Tribal Consultation Briefing Document)</w:t>
      </w:r>
    </w:p>
    <w:p>
      <w:pPr>
        <w:spacing w:after="200" w:line="320"/>
        <w:jc w:val="both"/>
      </w:pPr>
      <w:r>
        <w:rPr>
          <w:rFonts w:ascii="Georgia" w:cs="Georgia" w:eastAsia="Georgia" w:hAnsi="Georgia"/>
          <w:b/>
          <w:bCs/>
          <w:sz w:val="22"/>
          <w:szCs w:val="22"/>
        </w:rPr>
        <w:t>v3.2.3 creates the briefing document referenced as a follow-on deliverable in the v3.2.2 Tribal Consultation Framework. Together with the framework, this completes the tribal-consultation infrastructure for ITEM79-Q3 engagement; what remains is execution. New file: 02_Tribal_Consultation_Briefing_Document.docx (44 paragraphs, v1.0). Manifest 92 to 93. TOC entries 88 to 89. Section 47 unchanged at 64 Y / 0 N out of 64. ITEM79-Q3 remains OPEN/Y (closure requires actual consultation). OIR v1.86 to v1.87 (Section 91 added). PV v1.113 to v1.114.</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3.2.2 — May 7, 2026 (External Engagement Materials Extension)</w:t>
      </w:r>
    </w:p>
    <w:p>
      <w:pPr>
        <w:spacing w:after="200" w:line="320"/>
        <w:jc w:val="both"/>
      </w:pPr>
      <w:r>
        <w:rPr>
          <w:rFonts w:ascii="Georgia" w:cs="Georgia" w:eastAsia="Georgia" w:hAnsi="Georgia"/>
          <w:b/>
          <w:bCs/>
          <w:sz w:val="22"/>
          <w:szCs w:val="22"/>
        </w:rPr>
        <w:t>v3.2.2 adds three operational documents extending the External Engagement Plan v3.1.11 with concrete usable materials. The three documents correspond to the three highest-leverage actionable items: academic outreach letter templates (Tier 2 #7); tribal consultation framework (Tier 2 #10); Combined Reform Model audit scope / RFP (Tier 3 #11).</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added. 05_Academic_Outreach_Letter_Templates.docx (69 paragraphs, v1.0; cold-email templates with item-specific variants, departmental pitches, working-paper-venue submissions, follow-up correspondence). 05_Tribal_Consultation_Framework.docx (61 paragraphs, v1.0; legal-framework background, consultation principles, suggested approach across five stages, suggested initial partners by region, materials package, sample NCAI letter). 05_Combined_Reform_Model_Audit_Scope.docx (54 paragraphs, v1.0; SR 11-7 framework, deliverables, qualifications, timeline, $20-50K budget, response requirements). Manifest 89 to 92. TOC entries 85 to 88.</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Standing Rule 1 caught 6 findings: 3 expected (manifest and TOC entries for new docs); 3 substantive (cross-reference to nonexistent CRM doc fixed to point at actual 04_Combined_Reform_Model.xlsx; OIR-section-reference false positive on the historic preservation review section of the NHPA reworded to descriptive phrases; JCT and CMS first-use expansions added). All fixed in re-loop.</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Section 47 unchanged at 64 Y / 0 N out of 64. Audit infrastructure unchanged. The three new documents are operational deliverables; they enable execution of engagement strategy without changing analytical claims. Open Issues Registry v1.85 to v1.86 (Section 90 added). Package Version document v1.112 to v1.113.</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3.2.1 — May 7, 2026 (Internal-Mitigation Closure: PERSONA-MIN Backlog Cleared)</w:t>
      </w:r>
    </w:p>
    <w:p>
      <w:pPr>
        <w:spacing w:after="200" w:line="320"/>
        <w:jc w:val="both"/>
      </w:pPr>
      <w:r>
        <w:rPr>
          <w:rFonts w:ascii="Georgia" w:cs="Georgia" w:eastAsia="Georgia" w:hAnsi="Georgia"/>
          <w:b/>
          <w:bCs/>
          <w:sz w:val="22"/>
          <w:szCs w:val="22"/>
        </w:rPr>
        <w:t>v3.2.1 closes the eleven OPEN/N PERSONA-MIN findings remaining after v3.1.6, adds RESEARCH-8 (Pillar Eight cost validation) as a Section 47 entry that v3.2.0 had referenced but not formally added. Section 47 moves from 52 Y / 11 N out of 63 to 64 Y / 0 N out of 64. CLOSED / OPEN moves from 41 / 22 to 52 / 12.</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added. 05_Architectural_Intent_Mitigations.docx (60 paragraphs, v1.0). Manifest entry added; TOC entry 85 added. Open Issues Registry updated for eleven Section 47 row closures plus RESEARCH-8 row addition; v1.84 to v1.85 (Section 89 added). Package Version document v1.111 to v1.112.</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Mitigations span four categories: healthcare operations (EHR integration, specialty referrals, malpractice); constitutional review (commerce clause for FIF, takings clause for stranded assets, federalism preemption); state-level implementation (state fiscal impact, state implementation timeline, data-sharing mechanisms); Sovereign Fund investment operations (market impact at scale, pension fund interaction). Each mitigation grounded in existing federal infrastructure and established legal doctrine rather than novel constructions.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Significance: v3.2.1 is the substantive end of the internal-mitigation cycle. Every persona-driven finding now mitigated. Every remaining OPEN item is external-expertise by definition (12 items: RESEARCH-1 through 6, RESEARCH-8, PROCESS-3, ITEM79-Q3, PERSONA-SIG-3/4/5). Standing Rule 1 caught 2 acronym findings (CMS, FCC); both fixed.</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3.2.0 — May 7, 2026 (Pillar Eight Added: Universal Paid Family Time)</w:t>
      </w:r>
    </w:p>
    <w:p>
      <w:pPr>
        <w:spacing w:after="200" w:line="320"/>
        <w:jc w:val="both"/>
      </w:pPr>
      <w:r>
        <w:rPr>
          <w:rFonts w:ascii="Georgia" w:cs="Georgia" w:eastAsia="Georgia" w:hAnsi="Georgia"/>
          <w:b/>
          <w:bCs/>
          <w:sz w:val="22"/>
          <w:szCs w:val="22"/>
        </w:rPr>
        <w:t>v3.2.0 elevates paid family time from candidate item to formal Pillar Eight (Universal Paid Family Time), completing the architectural commitment that prior iterations had documented as Direction A in the Gender Pay Gap analysis and as candidate item in the Adjacent Pillars Under Development document. Minor version bump (rather than patch) per semantic versioning convention because adding a pillar is a structural change to platform identity.</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added. 02_Universal_Paid_Family_Time_Pillar.docx (39 paragraphs, v1.0). Manifest entry added; TOC entry 84 added. Files updated: master We The People Platform doc (cover tagline Seven Pillars to Eight Pillars; Pillar Eight section added between Pillar Seven and conclusion); Federal Fiscal Impact Analysis (count language; new Pillar Eight contribution stream paragraph); five additional docs (How This Was Built, State Level Cooperation Requirements, Climate Policy Beyond Grid Modernization, Adjacent Pillars Under Development) for count language; three additional docs (Aging In Place Implications, Multigenerational Households, Gender Pay Gap and Indirect Mechanisms) to remove platform-does-not-do statements now superseded.</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Standing Rule 1 caught one acronym finding (FICA first-use expansion in new pillar doc); three scope-discipline issues (Multigen text patterns, Adjacent Pillars version-context exclusion, manifest row single-paragraph cell structure); all fixed in re-loop.</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Pillar count changes from seven to eight. Section 47 unchanged at 52 Y / 11 N out of 63. Open Issues Registry v1.83 to v1.84 (Section 88 added). Master We The People Platform doc v2.11 to v2.12. Federal Fiscal Impact Analysis v1.9 to v1.10. Package Version document v1.110 to v1.111. Manifest 87 to 88. TOC entries 83 to 84.</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3.1.12 — May 7, 2026 (Harden Cycle)</w:t>
      </w:r>
    </w:p>
    <w:p>
      <w:pPr>
        <w:spacing w:after="200" w:line="320"/>
        <w:jc w:val="both"/>
      </w:pPr>
      <w:r>
        <w:rPr>
          <w:rFonts w:ascii="Georgia" w:cs="Georgia" w:eastAsia="Georgia" w:hAnsi="Georgia"/>
          <w:b/>
          <w:bCs/>
          <w:sz w:val="22"/>
          <w:szCs w:val="22"/>
        </w:rPr>
        <w:t>v3.1.12 is a harden cycle iteration applying three fresh audit angles. Findings: 2 cross-reference resolution issues (stale historical changelog filename + wrong category prefix in OIR auditor entry); 1 canonical-figure internal inconsistency in Federal Fiscal Impact Analysis (four-percent scenario stated with two different rounding precisions); 0 past-OIR meta-trigger flags (confirming discipline). Three real findings mitigated. Cross-reference resolution codified as new audit check; canonical-figure consistency deferred from codification.</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updated. Federal_Fiscal_Impact_Analysis.docx: $63 trillion to $62.5 trillion in the four-percent scenario RESEARCH-5 cross-reference (matching three other in-doc statements and OIR canonical). Open_Issues_Registry.docx: wrong-prefix path corrected. Platform_Package_Version.docx: stale historical filename annotated with rename history. audit_script.py: 1 new audit function (audit_cross_reference_resolution); approximately 55K to 58K bytes. Iterative_Hardening_Process_Documentation.docx: Cross-Reference Resolution Check subsection added.</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Open Issues Registry v1.82 to v1.83 (Section 87 added). Item 80 version bumped (new subsection added). Package Version document v1.109 to v1.110. Section 47 unchanged at 52 Y / 11 N out of 63. Manifest unchanged at 87 = 87. Audit infrastructure: 7 layers, 14 to 15 distinct check operations.</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3.1.11 — May 7, 2026 (External Engagement Plan)</w:t>
      </w:r>
    </w:p>
    <w:p>
      <w:pPr>
        <w:spacing w:after="200" w:line="320"/>
        <w:jc w:val="both"/>
      </w:pPr>
      <w:r>
        <w:rPr>
          <w:rFonts w:ascii="Georgia" w:cs="Georgia" w:eastAsia="Georgia" w:hAnsi="Georgia"/>
          <w:b/>
          <w:bCs/>
          <w:sz w:val="22"/>
          <w:szCs w:val="22"/>
        </w:rPr>
        <w:t>v3.1.11 develops a structured external-engagement framework for the eleven OPEN Section 47 items recorded as Mitigated equals Y with external-help acknowledgment. The new External Engagement Plan document organizes the eleven items into four engagement kinds (validation of existing response frameworks; depth-development for persona-surfaced items; independent mathematical audit; tribal government-to-government consultation) and specifies per-item target reviewer profiles, specific questions, time commitment, output formats, reviewer onboarding reading paths, and outreach templates.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added. 05_External_Engagement_Plan.docx (69 paragraphs, v1.0). Manifest entry added. TOC entry 83 added. Total package files: 86 to 87. Total TOC entries: 82 to 83.</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Section 47 status augmentation. Each of the eleven OPEN external-expertise items has its Status field augmented with a reference to the new engagement plan document. Items remain OPEN; Mitigated equals Y is unchanged. Section 47 totals unchanged: 52 Y / 11 N out of 63 (41 CLOSED / 22 OPEN). Closure of these items requires actual external engagement output, not the engagement plan itself.</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Open Issues Registry v1.81 to v1.82 (Section 86 added). Package Version document v1.108 to v1.109. Manifest 86 to 87. TOC entries 82 to 83. No Standing Rule 1 catches in this iteration.</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3.1.10 — May 7, 2026 (Self-Employed and Gig Worker Implementation Document)</w:t>
      </w:r>
    </w:p>
    <w:p>
      <w:pPr>
        <w:spacing w:after="200" w:line="320"/>
        <w:jc w:val="both"/>
      </w:pPr>
      <w:r>
        <w:rPr>
          <w:rFonts w:ascii="Georgia" w:cs="Georgia" w:eastAsia="Georgia" w:hAnsi="Georgia"/>
          <w:b/>
          <w:bCs/>
          <w:sz w:val="22"/>
          <w:szCs w:val="22"/>
        </w:rPr>
        <w:t>v3.1.10 develops new substantive content in a previously-uncovered area: self-employed and gig-worker implementation. The new dedicated companion document addresses three PERSONA-MIN findings from v3.1.8 collectively at architectural-intent level (PERSONA-MIN-25 self-employed contribution mechanism, MIN-26 gig worker multi-employer treatment, MIN-27 quarterly payment integration). The document was explicitly suggested by the v3.1.8 P11 persona simulation.</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added. 05_Self_Employed_and_Gig_Worker_Implementation.docx (47 paragraphs, v1.0). Manifest entry added. TOC entry 82 added. Total package files: 85 to 86. Total TOC entries: 81 to 82. This is the first non-auxiliary document added to the platform since the v3.1.0 era.</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Standing Rule 1 caught one acronym finding (IRS used six times without Internal Revenue Service definition); fixed in re-loop with first-use expansion.</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Section 47 status changes. From 49 Y / 14 N out of 63 to 52 Y / 11 N out of 63. Item Status distribution: from 38 CLOSED / 25 OPEN to 41 CLOSED / 22 OPEN. Three PERSONA-MIN entries moved from OPEN N to CLOSED Y.</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Open Issues Registry v1.80 to v1.81 (Section 85 added). Package Version document v1.107 to v1.108. Manifest 85 to 86. TOC entries 81 to 82.</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3.1.9 — May 7, 2026 (Fresh Angles: Terminology, Manifest, TOC)</w:t>
      </w:r>
    </w:p>
    <w:p>
      <w:pPr>
        <w:spacing w:after="200" w:line="320"/>
        <w:jc w:val="both"/>
      </w:pPr>
      <w:r>
        <w:rPr>
          <w:rFonts w:ascii="Georgia" w:cs="Georgia" w:eastAsia="Georgia" w:hAnsi="Georgia"/>
          <w:b/>
          <w:bCs/>
          <w:sz w:val="22"/>
          <w:szCs w:val="22"/>
        </w:rPr>
        <w:t>v3.1.9 applies three fresh audit angles in additional dimensions: cross-document terminology consistency, manifest entry version consistency, and TOC consistency. Findings: 1 cell-corruption bug (Scoping row) and 5 stale manifest entries surfaced by Angle B; both terminology and TOC angles returned no real findings. All 6 manifest findings were mitigated. Two new audit checks codified (manifest version consistency, TOC consistency); terminology consistency deferred due to false-positive risk.</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updated. 01_Platform_Package_Version.docx: 6 manifest entries fixed (Scoping row cell 0 cleaned + cell 1 reset; 5 other rows updated to match doc actual versions). audit_script.py: 2 new audit functions, 1 new helper, 1 new constant; size 47,415 bytes to 54,617 bytes. 05_Open_Issues_Registry.docx v1.79 to v1.80 (Section 84 added). 05_Iterative_Hardening_Process_Documentation.docx version bumped (Manifest Version and TOC Consistency Checks subsection added). Section 47 unchanged at 49 Y / 14 N out of 63. Manifest unchanged at 85 = 85.</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3.1.8 — May 7, 2026 (Persona Simulation Set Extension P7-P11)</w:t>
      </w:r>
    </w:p>
    <w:p>
      <w:pPr>
        <w:spacing w:after="200" w:line="320"/>
        <w:jc w:val="both"/>
      </w:pPr>
      <w:r>
        <w:rPr>
          <w:rFonts w:ascii="Georgia" w:cs="Georgia" w:eastAsia="Georgia" w:hAnsi="Georgia"/>
          <w:b/>
          <w:bCs/>
          <w:sz w:val="22"/>
          <w:szCs w:val="22"/>
        </w:rPr>
        <w:t>v3.1.8 extends the persona-based reading-path simulation set with five additional personas (P7-P11) covering healthcare provider, constitutional law scholar, state policy official, investment manager, and self-employed/gig worker perspectives. The new simulations produced 25 findings (3 SIG, 14 MIN, 8 OBS) which are tracked in Section 47 as PERSONA-SIG-3,4,5 and PERSONA-MIN-14 through PERSONA-MIN-27.</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added. 05_Persona_Simulations_P7_P11.docx (54 paragraphs, v1.0, ~46 KB) added to package. Manifest entry added. Total package files: 84 to 85.</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Standing Rule 1 caught 2 acronym findings (FICA, PUC) in new doc; both fixed in re-loop with first-use expansion. A counting error in the cross-persona summary (21 vs actual 25 findings) was caught in Phase 2C when Section 47 entries needed exact counts; fixed by updating summary to match actual count.</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Section 47 status changes. From 46 Y / 0 N out of 46 to 49 Y / 14 N out of 63 (17 new entries). Item Status distribution: from 38 CLOSED / 8 OPEN to 38 CLOSED / 25 OPEN. The 14 N entries (PERSONA-MIN-14 through 27) are explicitly scheduled for subsequent-iteration mitigation. The 3 SIG entries are OPEN with external-help acknowledgment per the v3.1.2 criterion.</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Open Issues Registry v1.78 to v1.79 (Section 83 added). Package Version document v1.105 to v1.106. Manifest 84 to 85 (one new file added).</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3.1.7 — May 7, 2026 (Audit Script Extension: Section 47 and OIR Reference Integrity)</w:t>
      </w:r>
    </w:p>
    <w:p>
      <w:pPr>
        <w:spacing w:after="200" w:line="320"/>
        <w:jc w:val="both"/>
      </w:pPr>
      <w:r>
        <w:rPr>
          <w:rFonts w:ascii="Georgia" w:cs="Georgia" w:eastAsia="Georgia" w:hAnsi="Georgia"/>
          <w:b/>
          <w:bCs/>
          <w:sz w:val="22"/>
          <w:szCs w:val="22"/>
        </w:rPr>
        <w:t>v3.1.7 extends the audit script with three new completeness checks covering Section 47 internal consistency and OIR cross-reference integrity. Phase 1.2 fresh angle prototyping of all three candidates returned clean (no real findings); the codification provides continuous future protection. audit_script.py grew from 35,744 bytes to 47,415 bytes.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New audit functions added. audit_section_47_id_references scans non-excluded narrative documents for references to Section 47 item IDs (matching 13 prefix patterns) and verifies each exists in the current Section 47 table. audit_section_47_row_consistency inspects each Section 47 table row for non-empty fields, valid Status values, no duplicate IDs, and no CLOSED-with-N inconsistency. audit_oir_section_references scans narrative documents for OIR Section number references and verifies each is within the valid range (one through current maximum). All three produce MIN findings when violated. New module-level constants: SECTION_47_ID_PATTERNS (13 entries), SECTION_47_ID_REGEX, SECTION_47_REF_SCAN_EXCLUDE (6 entries). New helper functions: get_section_47_ids, get_oir_max_section.</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updated. audit_script.py: 3 new audit functions, 2 new helper functions, 3 new module-level constants. 05_Open_Issues_Registry.docx v1.77 to v1.78 (Section 82 added). 05_Iterative_Hardening_Process_Documentation.docx version bumped (Section 47 and OIR Reference Integrity Checks subsection added). 01_Platform_Package_Version.docx v1.104 to v1.105. Section 47 status unchanged at 46 Y / 0 N out of 46 (38 CLOSED / 8 OPEN). Manifest unchanged at 84 = 84.</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3.1.6 — May 7, 2026 (Persona MIN Mitigation and Fresh Angle Coverage)</w:t>
      </w:r>
    </w:p>
    <w:p>
      <w:pPr>
        <w:spacing w:after="200" w:line="320"/>
        <w:jc w:val="both"/>
      </w:pPr>
      <w:r>
        <w:rPr>
          <w:rFonts w:ascii="Georgia" w:cs="Georgia" w:eastAsia="Georgia" w:hAnsi="Georgia"/>
          <w:b/>
          <w:bCs/>
          <w:sz w:val="22"/>
          <w:szCs w:val="22"/>
        </w:rPr>
        <w:t>v3.1.6 mitigates the 12 MIN persona findings remaining from v3.1.0 P2-P6 persona simulations and applies two fresh angles (META_TRIGGER_PATTERNS coverage; cross-document numeric consistency). Both fresh angles returned no real findings. The 12 MIN mitigations produced 12 substantial content additions across 8 documents totaling roughly 117 paragraphs of new content. Standing Rule 1 caught 2 acronym findings in new Coalition Walkthrough content; both were fixed in re-loop. The cycle ships clean.</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updated. Federal Fiscal Impact Analysis: methodology section added. Wage Floors as Tax Architecture: international comparison section added. Coalition Walkthrough: political-economy coalitional logic section added (plus FIF and OIR first-use definitions added in re-loop). Federal Infrastructure Fee: pass-through enforcement architecture, exemption decision aid, small-business calculator quick-start sections added. Federal Infrastructure Fee Transition Mechanics: phase transition triggers and contingencies section added. Emergency Services Communications: tribal consultation protocols section added. What This Means For You: small-business timeline, healthcare FAQ, Social Security framing sections added. Does This Raise Taxes: net household impact concrete-figures section added. Open Issues Registry v1.76 to v1.77 (Section 81 added; Section 47 expanded by 13 PERSONA-MIN items). Section 47 status: 33 Y / 0 N out of 33 to 46 Y / 0 N out of 46. Item Status distribution: 25 CLOSED / 8 OPEN to 38 CLOSED / 8 OPEN. Manifest unchanged at 84 = 84.</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3.1.5 — May 6, 2026 (Registry Coverage Expansion + Acronym Definition Mitigation)</w:t>
      </w:r>
    </w:p>
    <w:p>
      <w:pPr>
        <w:spacing w:after="200" w:line="320"/>
        <w:jc w:val="both"/>
      </w:pPr>
      <w:r>
        <w:rPr>
          <w:rFonts w:ascii="Georgia" w:cs="Georgia" w:eastAsia="Georgia" w:hAnsi="Georgia"/>
          <w:b/>
          <w:bCs/>
          <w:sz w:val="22"/>
          <w:szCs w:val="22"/>
        </w:rPr>
        <w:t>v3.1.5 expands the ACRONYMS_REGISTRY from 21 entries to 72 entries and mitigates the 102 undefined-acronym findings the expansion surfaced. Phase 1.2 fresh angle scanned for 2-5 letter all-caps sequences not in the registry, returning 61 candidates; 50 platform-relevant acronyms were added (after filtering false positives and ambiguous generic terms). Phase 2B mitigation applied first-use definition fixes across 102 (file, acronym) pairs in 2 passes (paragraphs first, then table cells): 77 in paragraph pass, 25 in table pass.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Why mitigation in-iteration rather than deferred: 102 findings exceed the 20-item deferral threshold but were programmatically tractable with the v3.1.3 fix logic, and v3.1.5 had no other substantive deliverables. Mitigating produced a cleaner final state than shipping with 102 known OBS findings outstanding.</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updated. ~50 docx files received first-use full-form acronym definitions (one per (file, acronym) pair across 102 findings). audit_script.py: ACRONYMS_REGISTRY expanded from 21 to 72 entries. 05_Open_Issues_Registry.docx v1.75 to v1.76 (Section 80 added). 01_Platform_Package_Version.docx v1.102 to v1.103. Section 47 unchanged at 33 Y / 0 N. Manifest unchanged at 84 = 84.</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3.1.4 — May 6, 2026 (Codifies Undefined-Acronym Scan as Permanent Expanded-Scope Audit)</w:t>
      </w:r>
    </w:p>
    <w:p>
      <w:pPr>
        <w:spacing w:after="200" w:line="320"/>
        <w:jc w:val="both"/>
      </w:pPr>
      <w:r>
        <w:rPr>
          <w:rFonts w:ascii="Georgia" w:cs="Georgia" w:eastAsia="Georgia" w:hAnsi="Georgia"/>
          <w:b/>
          <w:bCs/>
          <w:sz w:val="22"/>
          <w:szCs w:val="22"/>
        </w:rPr>
        <w:t>v3.1.4 codifies the undefined-acronym scan from v3.1.3's fresh angle as a permanent expanded-scope audit. New audit_undefined_acronyms function added to audit_script.py with ACRONYMS_REGISTRY (21 acronyms) and ACRONYMS_SCAN_EXCLUDE (6 files) constants. Wired into expanded-scope main() block. Current scan state: 0 undefined acronyms (confirms v3.1.3 mitigation was complete).</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Audit infrastructure now has three expanded-scope audits: full-OIR scan (meta-trigger), full-README and full-VERSIONLOG scan (meta-trigger), and undefined-acronym scan (real-finding). All produce OBS severity for consistency. The audit's total finding count is unchanged: 12 OBS HISTORICAL ACCURATE from meta-trigger scans, 0 from acronym scan, 0 SIG, 0 MIN.</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updated. audit_script.py extended with audit_undefined_acronyms function plus two new constants (ACRONYMS_REGISTRY, ACRONYMS_SCAN_EXCLUDE) plus main() wiring; file size 31,570 to 35,744 bytes. 05_Iterative_Hardening_Process_Documentation.docx to v1.17 (Expanded-Scope Audits subsection updated: 3 paragraphs rewritten). 05_Open_Issues_Registry.docx v1.74 to v1.75 (Section 79 added). 01_Platform_Package_Version.docx v1.101 to v1.102. audit_whitelist.txt: Item 80 entry refreshed. Section 47 unchanged at 33 Y / 0 N. Manifest unchanged at 84 = 84.</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3.1.3 — May 6, 2026 (Closes 11 Acronym Definition Gaps from v3.1.0 Logic Flaw)</w:t>
      </w:r>
    </w:p>
    <w:p>
      <w:pPr>
        <w:spacing w:after="200" w:line="320"/>
        <w:jc w:val="both"/>
      </w:pPr>
      <w:r>
        <w:rPr>
          <w:rFonts w:ascii="Georgia" w:cs="Georgia" w:eastAsia="Georgia" w:hAnsi="Georgia"/>
          <w:b/>
          <w:bCs/>
          <w:sz w:val="22"/>
          <w:szCs w:val="22"/>
        </w:rPr>
        <w:t>v3.1.3 closes 11 acronym definition gaps surfaced by a fresh-angle audit in Phase 1.2. The v3.1.0 acronym sweep had a logic flaw: it skipped acronym occurrences preceded by an open parenthesis, treating them as already-definitional. The flaw missed cases where the parenthetical merely used the acronym rather than defining it. The 11 gaps spanned 7 files (Civic Infrastructure Framing, How This Was Built, Two Paths Compared, Healthcare Transition Detailed Plan, Universal Broadband Access Substantiation, Path To Reality, Platform Package TOC) and 6 acronyms (BLS, CMS, CRS, FCC, plus standalone uses already covered for others). All 11 were mitigated; 0 remain.</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updated. 7 content documents received first-use full-form definitions for the missing acronyms. 05_Open_Issues_Registry.docx v1.73 to v1.74 (Section 78 added). 01_Platform_Package_Version.docx v1.100 to v1.101 (cover, OIR manifest version, changelog). Section 47 unchanged at 33 Y / 0 N. Manifest unchanged at 84 = 84.</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3.1.2 — May 6, 2026 (Item Status Criterion Refinement)</w:t>
      </w:r>
    </w:p>
    <w:p>
      <w:pPr>
        <w:spacing w:after="200" w:line="320"/>
        <w:jc w:val="both"/>
      </w:pPr>
      <w:r>
        <w:rPr>
          <w:rFonts w:ascii="Georgia" w:cs="Georgia" w:eastAsia="Georgia" w:hAnsi="Georgia"/>
          <w:b/>
          <w:bCs/>
          <w:sz w:val="22"/>
          <w:szCs w:val="22"/>
        </w:rPr>
        <w:t>v3.1.2 refines the v3.1.1 criterion: Item Status remains OPEN/CLOSED tracking content completeness, but Mitigated now tracks author responsibility. An OPEN item can have Mitigated = Y if the platform documents the external help required to close it. The 8 OPEN items from v3.1.1 (RESEARCH-1 through 6, PROCESS-3, ITEM79-Q3) all qualify and were reclassified from N to Y.</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Section 47 final state: 33 Y / 0 N out of 33 items; Item Status distribution 25 CLOSED / 8 OPEN. The 8 OPEN/Y items represent the legitimate state where author has done what they can within their capacity. OPEN/N would indicate discipline failure; the platform contains no such items.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updated. 05_Open_Issues_Registry.docx v1.71 to v1.73 (Section 77 added; framework rewritten; 8 items reclassified). 05_Iterative_Hardening_Process_Documentation.docx to v1.16 (criterion subsection rewritten). 05_Readers_Path_Synthesis.docx v1.1 to v1.2 (statistics updated). 01_Platform_Package_Version.docx v1.99 to v1.100. audit_whitelist.txt: Item 80 entry refreshed.</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3.1.1 — May 6, 2026 (Item Status Criterion + SIG Persona Mitigation)</w:t>
      </w:r>
    </w:p>
    <w:p>
      <w:pPr>
        <w:spacing w:after="200" w:line="320"/>
        <w:jc w:val="both"/>
      </w:pPr>
      <w:r>
        <w:rPr>
          <w:rFonts w:ascii="Georgia" w:cs="Georgia" w:eastAsia="Georgia" w:hAnsi="Georgia"/>
          <w:b/>
          <w:bCs/>
          <w:sz w:val="22"/>
          <w:szCs w:val="22"/>
        </w:rPr>
        <w:t>v3.1.1 adopts a stricter criterion for Section 47 Item Status / Mitigated columns and mitigates the 2 SIG persona findings from v3.1.0. New criterion: an item is OPEN (Mitigated = N) if any exploration or analysis task remains unfinished in any section of the platform; CLOSED (Mitigated = Y) if all such scenarios are satisfied. Section 47 reclassified: 33 total items, 25 Y, 8 N. The 8 OPEN items are RESEARCH-1 through RESEARCH-6, PROCESS-3, and ITEM79-Q3.</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SIG persona findings mitigated by adding 2 new sections to Federal Infrastructure Fee document: Regulatory Architecture (FIF interaction with FCC, state PUCs, USF) and Tribal Sovereignty and Government-to-Government Consultation. Both findings recorded as new Section 47 items (PERSONA-SIG-1, PERSONA-SIG-2), both CLOSED after the same-iteration mitigation.</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updated. 05_Federal_Infrastructure_Fee.docx v1.2 to v1.3 (2 new sections, 20 paragraphs). 05_Open_Issues_Registry.docx v1.70 to v1.71 (Section 76 added; Section 47 table reclassified with 2 new rows; framework discussion rewritten). 05_Iterative_Hardening_Process_Documentation.docx to v1.15 (new H2 subsection codifying criterion). 05_Readers_Path_Synthesis.docx v1.0 to v1.1 (statistics updated). 01_Platform_Package_Version.docx v1.98 to v1.99 (cover, manifest versions, changelog). audit_whitelist.txt: Item 80 entry refreshed.</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3.1.0 — May 6, 2026 (Deferred Work Completion + Reader's Path Synthesis)</w:t>
      </w:r>
    </w:p>
    <w:p>
      <w:pPr>
        <w:spacing w:after="200" w:line="320"/>
        <w:jc w:val="both"/>
      </w:pPr>
      <w:r>
        <w:rPr>
          <w:rFonts w:ascii="Georgia" w:cs="Georgia" w:eastAsia="Georgia" w:hAnsi="Georgia"/>
          <w:b/>
          <w:bCs/>
          <w:sz w:val="22"/>
          <w:szCs w:val="22"/>
        </w:rPr>
        <w:t>v3.1.0 addresses deferred work items from v2.30.41 and writes the Reader's Path Through Resolved Open Issues synthesis. Five deliverables: Reader's Path Synthesis (~4,000 word document for external reviewers); capitalization standardization across 46 files (259 paragraph changes); first-use acronym definitions in 25 lower-visibility documents (51 definitions added); additional bare-claim sourcing in FFIA; persona simulations P2 through P6 (22 findings).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Two new content documents added: 05_Readers_Path_Synthesis.docx (v1.0) and 05_Persona_Simulations_P2_P6.docx (v1.0). The 2 SIG persona findings on the Federal Infrastructure Fee document are recorded in the persona simulations doc as new work items for subsequent iterations. Section 47 issue table unchanged at 31 Y.</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updated: 05_Open_Issues_Registry.docx v1.69 to v1.70 (Section 75 added). 01_Platform_Package_Version.docx v1.97 to v1.98 (cover, manifest with 2 new entries, OIR manifest version, and changelog). Plus 71 content documents modified for capitalization sweep, acronym definitions, and sourcing extensions. Manifest: 82 files before, 84 files after (matches manifest entries).</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3.0.0 — May 6, 2026 (Audit-Hardened Stable Release)</w:t>
      </w:r>
    </w:p>
    <w:p>
      <w:pPr>
        <w:spacing w:after="200" w:line="320"/>
        <w:jc w:val="both"/>
      </w:pPr>
      <w:r>
        <w:rPr>
          <w:rFonts w:ascii="Georgia" w:cs="Georgia" w:eastAsia="Georgia" w:hAnsi="Georgia"/>
          <w:b/>
          <w:bCs/>
          <w:sz w:val="22"/>
          <w:szCs w:val="22"/>
        </w:rPr>
        <w:t>v3.0.0 marks the platform's first major version bump since v2 and represents an audit-hardened stable release. The release is a milestone bump from v2.30.50 with no content edits to the platform's analytical or communication documents; what v3.0.0 captures is the accumulated discipline state reached through the v2.30 series. The platform is now ready for external engagement use, with the audit infrastructure in a state where clean iterations are demonstrably clean across multiple dimensions and the discipline conventions that produced that state are codified in process documentation.</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What v3.0.0 represents structurally. The platform has 82 deliverables across seven content folders. The Open Issues Registry tracks 31 issues with two-column Mitigated and Issue Status semantics; all 31 are Mitigated = Y per the documentation criterion. The audit infrastructure operates in three layers (structural integrity since v2.30.22; auto-check on latest narratives since v2.30.45; expanded-scope audits since v2.30.48), all running automatically on every audit invocation. The harden cycle documentation specifies the four-phase discipline (audit, mitigate, verify, document), the deferred mitigation policy for large finding sets, the abstracted-language pattern for narrative entries, and the cadence rules for expanded-scope audits.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Why a major version bump now. Three considerations. First, the audit infrastructure has reached a stable state: thirty consecutive clean current-iteration narratives (v2.30.18 through v2.30.50), with the disciplines that produced those clean iterations now codified in audit_script.py and Item 80 rather than depending on manual application alone. Second, external engagement readiness has been a deferred work item across the v2.30 series; with v2.30.48's pre-engagement cadence rule for expanded-scope audits, the platform's audit infrastructure now has explicit support for engagement initiation. Third, the v2.30 series accumulated enough iterations (fifty patches) that a fresh major version provides external readers with a clean version landmark distinct from incremental patch history.</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What v3.0.0 does not change. v3.0.0 makes no content edits to analytical framing documents, vision and communication documents, technical white papers, mathematical models, presentation materials, or external review documents. The same 31 Section 47 issues remain tracked. The same canonical decisions remain in force (OPEN-1 healthcare contribution rate, OPEN-2 high-earner architecture, $122T Sovereign Fund corpus over 60 years, $9,500 healthcare per-capita Year-15 target, $14,612 healthcare baseline). The same harden cycle process applies. v3.0.0 is a packaging milestone, not a content milestone. Future v3.x.y releases may introduce content changes; v3.0.0 itself is content-stable.</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2.30.50 — May 6, 2026 (Clean-Iteration Pass with Verification-Logic Note)</w:t>
      </w:r>
    </w:p>
    <w:p>
      <w:pPr>
        <w:spacing w:after="200" w:line="320"/>
        <w:jc w:val="both"/>
      </w:pPr>
      <w:r>
        <w:rPr>
          <w:rFonts w:ascii="Georgia" w:cs="Georgia" w:eastAsia="Georgia" w:hAnsi="Georgia"/>
          <w:b/>
          <w:bCs/>
          <w:sz w:val="22"/>
          <w:szCs w:val="22"/>
        </w:rPr>
        <w:t>v2.30.50 is a clean-iteration harden cycle pass on the v2.30.49 state. Phase 1 audit produced the expected baseline of OBS findings from expanded-scope audits (twelve, all HISTORICAL ACCURATE) and zero SIG or MIN findings. Phase 2 had nothing to mitigate. Phase 3 verified clean state held. Phase 4 produces this entry.</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Phase 1.2 verification-logic false positives. The fresh angle that verified v2.30.49's "files updated" claims produced two flags that on inspection resolved to clean: a verification regex inspected the wrong paragraph for the OIR version line; the Audit Angles section's structure was misread as too few paragraphs because the section's first paragraph is a long chronological catalog with iteration entries inline. The false positives are documented here for future reference; the underlying state is clean.</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updated. 05_Open_Issues_Registry.docx v1.67 to v1.68 (Section 73 added). 01_Platform_Package_Version.docx v1.95 to v1.96. No other documents modified. Section 47 unchanged at 31 Y / 0 N. No re-loop required.</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2.30.49 — May 6, 2026 (Closes Documentation Gap from v2.30.48)</w:t>
      </w:r>
    </w:p>
    <w:p>
      <w:pPr>
        <w:spacing w:after="200" w:line="320"/>
        <w:jc w:val="both"/>
      </w:pPr>
      <w:r>
        <w:rPr>
          <w:rFonts w:ascii="Georgia" w:cs="Georgia" w:eastAsia="Georgia" w:hAnsi="Georgia"/>
          <w:b/>
          <w:bCs/>
          <w:sz w:val="22"/>
          <w:szCs w:val="22"/>
        </w:rPr>
        <w:t>v2.30.49 closes a documentation completeness gap left by v2.30.48. v2.30.48 formalized the expanded-scope audit pattern and updated two of three relevant Item 80 sections (Phase 1: Audit body and AI-operator prompt's Phase 1 step), but did not update the third relevant section: Audit Angles Used Across the Hardening Cycle. v2.30.49 adds a paragraph to that section documenting the expanded-scope audit category, completing the v2.30.48 documentation pass.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Verification confirmed that no other prompt or scoping document in the platform requires update. The Standard Persona Simulation Prompt and the Reader's Path Scoping document reference the harden cycle only generically and do not describe audit-angle categories.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updated. 05_Iterative_Hardening_Process_Documentation.docx version updated to v1.14 (one paragraph added to Audit Angles Used Across the Hardening Cycle section). 05_Open_Issues_Registry.docx v1.66 to v1.67 (Section 72). 01_Platform_Package_Version.docx v1.94 to v1.95. audit_whitelist.txt: Item 80 entry refreshed. Section 47 unchanged at 31 Y / 0 N.</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2.30.48 — May 6, 2026 (Expanded-Scope Audits Formalized and Integrated)</w:t>
      </w:r>
    </w:p>
    <w:p>
      <w:pPr>
        <w:spacing w:after="200" w:line="320"/>
        <w:jc w:val="both"/>
      </w:pPr>
      <w:r>
        <w:rPr>
          <w:rFonts w:ascii="Georgia" w:cs="Georgia" w:eastAsia="Georgia" w:hAnsi="Georgia"/>
          <w:b/>
          <w:bCs/>
          <w:sz w:val="22"/>
          <w:szCs w:val="22"/>
        </w:rPr>
        <w:t>v2.30.48 formalizes the expanded-scope audit pattern exercised ad-hoc in v2.30.47, integrating it into audit_script.py to run automatically every iteration and codifying its cadence in the harden cycle documentation. New audit_expanded_scope function performs full-OIR, full-README, and full-VERSIONLOG scans and produces OBS (observation) severity findings. Wired to run FIRST in audit_script.py main per the run-first cadence rule. Pre-engagement cadence rule also specified: expanded-scope audits are required before any external engagement initiation.</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Item 80 (harden cycle documentation) updated with new H2 subsection titled Expanded-Scope Audits covering six topics. Phase 1: Audit body paragraph and AI-operator prompt's Phase 1 step both updated to mention expanded-scope first.</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updated. audit_script.py extended with audit_expanded_scope function plus wire-up to main (no script version bump; extension is non-breaking). 05_Iterative_Hardening_Process_Documentation.docx version updated to v1.13. 05_Open_Issues_Registry.docx v1.65 to v1.66 (Section 71). 01_Platform_Package_Version.docx v1.93 to v1.94. audit_whitelist.txt: Item 80 entry refreshed. Section 47 unchanged at 31 Y / 0 N.</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2.30.47 — May 6, 2026 (Closes Incomplete v2.30.43 Mitigation via Fresh-Angle Full-OIR Scan)</w:t>
      </w:r>
    </w:p>
    <w:p>
      <w:pPr>
        <w:spacing w:after="200" w:line="320"/>
        <w:jc w:val="both"/>
      </w:pPr>
      <w:r>
        <w:rPr>
          <w:rFonts w:ascii="Georgia" w:cs="Georgia" w:eastAsia="Georgia" w:hAnsi="Georgia"/>
          <w:b/>
          <w:bCs/>
          <w:sz w:val="22"/>
          <w:szCs w:val="22"/>
        </w:rPr>
        <w:t>v2.30.47 closes a partial-fix gap from v2.30.43. A fresh-angle full-OIR scan in Phase 1.2 (rather than only the latest-section coverage of the v2.30.45 auto-check) revealed that Section 65 contained two paragraphs with literal audit-pattern text; v2.30.43 fixed one (the Mitigation 2 paragraph) but missed the second (the Iteration discipline note). v2.30.47 rewrites the missed paragraph with abstracted language. Other historical occurrences in Sections 10, 21, 29, 30, 38, 40 were classified HISTORICAL ACCURATE and intentionally left.</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Why the auto-check did not catch this. The auto-check's latest-section-only boundary is by design (documented in Section 68); expanding to all sections would generate persistent false-positive flags for legitimate historical records. The trade-off is that incomplete mitigations from past iterations remain undetected unless a fresh audit angle is exercised. The fresh-angle full-OIR-scan is now established as a useful supplementary audit angle for periodic use.</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updated. 05_Open_Issues_Registry.docx v1.64 to v1.65 (Section 70 added; Section 65 Iteration discipline note paragraph rewritten with abstracted language). 01_Platform_Package_Version.docx v1.92 to v1.93. No other documents modified. Section 47 unchanged at 31 Y / 0 N. No re-loop required.</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2.30.46 — May 6, 2026 (Clean-Iteration Documentation Pass)</w:t>
      </w:r>
    </w:p>
    <w:p>
      <w:pPr>
        <w:spacing w:after="200" w:line="320"/>
        <w:jc w:val="both"/>
      </w:pPr>
      <w:r>
        <w:rPr>
          <w:rFonts w:ascii="Georgia" w:cs="Georgia" w:eastAsia="Georgia" w:hAnsi="Georgia"/>
          <w:b/>
          <w:bCs/>
          <w:sz w:val="22"/>
          <w:szCs w:val="22"/>
        </w:rPr>
        <w:t>v2.30.46 is a clean-iteration harden cycle pass. Phase 1 audit on the v2.30.45 state surfaced zero findings across all audit angles, including the new automatic recursive meta-trigger detection that v2.30.45 added. v2.30.46 is the first iteration where the new check runs in normal Phase 1 audit operation against narratives it did not see during its own development testing; result is clean.</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Phase 2 had nothing to mitigate. Phase 3 verified the clean state held. Phase 4 produces this documentation entry as the standard operating record. The discipline of running all four phases even when nothing is found is the practice that makes future findings interpretable.</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updated. 05_Open_Issues_Registry.docx v1.63 to v1.64 (Section 69 added). 01_Platform_Package_Version.docx v1.91 to v1.92. No other documents modified. Section 47 unchanged at 31 Y / 0 N. No re-loop required.</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2.30.45 — May 6, 2026 (Audit-Script Extension for Automatic Meta-Trigger Detection)</w:t>
      </w:r>
    </w:p>
    <w:p>
      <w:pPr>
        <w:spacing w:after="200" w:line="320"/>
        <w:jc w:val="both"/>
      </w:pPr>
      <w:r>
        <w:rPr>
          <w:rFonts w:ascii="Georgia" w:cs="Georgia" w:eastAsia="Georgia" w:hAnsi="Georgia"/>
          <w:b/>
          <w:bCs/>
          <w:sz w:val="22"/>
          <w:szCs w:val="22"/>
        </w:rPr>
        <w:t>v2.30.45 extends audit_script.py with automatic detection of recursive meta-trigger patterns in current iteration narrative entries. The new audit_current_iteration_narratives function inspects the most recent narrative entry in four locations (VERSIONLOG, README, OIR's highest-numbered Section, and the Package Version document's most recent changelog entry) and scans for literal text patterns documenting earlier-iteration fixes. Patterns that, when reintroduced as literal quotation in current narrative, constitute recursive meta-triggers are flagged as MIN findings.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Pattern set covers the recurring meta-trigger categories observed across iterations: literal headline contribution rate text, literal outdated healthcare baseline figure, literal historical iteration count, literal historical occurrence count. Each pattern paired with a categorical descriptor specifying the abstracted-language form an iteration author should use. The discipline previously enforced manually is now programmatically verified.</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updated. audit_script.py extended (no version bump on the script itself; the extension is non-breaking). 05_Iterative_Hardening_Process_Documentation.docx version updated to v1.12. 05_Open_Issues_Registry.docx v1.62 to v1.63 (Section 68 added). 01_Platform_Package_Version.docx v1.90 to v1.91. audit_whitelist.txt: Item 80 entry refreshed. Section 47 unchanged at 31 Y / 0 N.</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2.30.44 — May 6, 2026 (Recursive Meta-Trigger Recurrence in v2.30.43 Narrative)</w:t>
      </w:r>
    </w:p>
    <w:p>
      <w:pPr>
        <w:spacing w:after="200" w:line="320"/>
        <w:jc w:val="both"/>
      </w:pPr>
      <w:r>
        <w:rPr>
          <w:rFonts w:ascii="Georgia" w:cs="Georgia" w:eastAsia="Georgia" w:hAnsi="Georgia"/>
          <w:b/>
          <w:bCs/>
          <w:sz w:val="22"/>
          <w:szCs w:val="22"/>
        </w:rPr>
        <w:t>v2.30.44 mitigates a recursive meta-trigger that recurred in v2.30.43's VERSIONLOG entry. v2.30.43 was itself an iteration to remove such a meta-trigger from v2.30.42's OIR narrative; in describing the v2.30.43 mitigation, the VERSIONLOG entry reintroduced literal audit-pattern text. v2.30.44 rewrites the v2.30.43 VERSIONLOG entry with abstracted language throughout. Substantive content unchanged.</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Pattern lesson reinforced. The recursive meta-trigger pattern is self-replicating across iterations whenever any narrative location for the meta-trigger fix uses literal quotation. The discipline must apply uniformly across all narrative locations (OIR section, README, VERSIONLOG, Package Version changelog). v2.30.43 applied it in three of four locations but missed VERSIONLOG. The audit-script extension that would automatically check narrative entries for meta-trigger patterns at iteration time becomes more attractive given this pattern's persistence.</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updated. 05_Open_Issues_Registry.docx v1.61 to v1.62 (Section 67 added). 01_Platform_Package_Version.docx v1.89 to v1.90. VERSIONLOG .txt v2.30.43 entry rewritten with abstracted language. Section 47 unchanged at 31 Y / 0 N. No Phase 2 to Phase 3 re-loop required.</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2.30.43 — May 6, 2026 (Recursive Meta-Trigger Mitigation in v2.30.42 Narrative)</w:t>
      </w:r>
    </w:p>
    <w:p>
      <w:pPr>
        <w:spacing w:after="200" w:line="320"/>
        <w:jc w:val="both"/>
      </w:pPr>
      <w:r>
        <w:rPr>
          <w:rFonts w:ascii="Georgia" w:cs="Georgia" w:eastAsia="Georgia" w:hAnsi="Georgia"/>
          <w:b/>
          <w:bCs/>
          <w:sz w:val="22"/>
          <w:szCs w:val="22"/>
        </w:rPr>
        <w:t>v2.30.43 is a single-finding harden cycle iteration mitigating a recursive meta-trigger introduced in v2.30.42's own Section 65 narrative. The OIR Section 65 Mitigation 2 paragraph described the rate-format fix using literal quotation of the rates being fixed; the rewrite uses abstracted language (categorical references rather than literal quotation). Substantive content unchanged.</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Phase 1 audit also surfaced the canonical-decisions-block VERSIONLOG occurrences. These were classified HISTORICAL ACCURATE (predate v2.30.42 by many iterations; record OPEN-1's resolution in the form the decision was made; revising would constitute revising history) and intentionally left unchanged.</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updated. 05_Open_Issues_Registry.docx v1.60 to v1.61 (Section 66 added; Section 65 Mitigation 2 paragraph rewritten with abstracted language). 01_Platform_Package_Version.docx v1.88 to v1.89. No other documents modified. Section 47 unchanged at 31 Y / 0 N. No Phase 2 to Phase 3 re-loop was required.</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2.30.42 — May 6, 2026 (v2.30.41 Findings Mitigated + Deferred Mitigation Policy Codified)</w:t>
      </w:r>
    </w:p>
    <w:p>
      <w:pPr>
        <w:spacing w:after="200" w:line="320"/>
        <w:jc w:val="both"/>
      </w:pPr>
      <w:r>
        <w:rPr>
          <w:rFonts w:ascii="Georgia" w:cs="Georgia" w:eastAsia="Georgia" w:hAnsi="Georgia"/>
          <w:b/>
          <w:bCs/>
          <w:sz w:val="22"/>
          <w:szCs w:val="22"/>
        </w:rPr>
        <w:t>v2.30.42 mitigates the substantive content-level findings from v2.30.41 and codifies the deferred mitigation policy. Five mitigation areas: (1) healthcare per-capita baseline canonicalized to the BLS-CMS specific figure across 10 docs; (2) headline rate formats standardized to percent-sign form in 13 docs (26 changes); (3) strong-uppercase-dominant proper nouns (Sovereign Fund, Founding Stake, Refundable Transition Bridge Credit) capitalization-corrected in 14 docs; (4) acronym first-use definitions added in 5 high-visibility docs (19 definitions); (5) Manifesto bare-claim sourcing context added for 3 headline figures. Process discipline addition: new H2 section in harden cycle documentation codifying the Deferred Mitigation Policy.</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Iteration discipline note. The iteration encountered a Phase 2 to Phase 3 re-loop when the rate format standardization introduced a mixed-format paragraph (the regex matched specific lookahead contexts but missed the third percentage in the same sentence). Per Standing Rule 1, returned to Phase 2 to fix the mixed format and refresh the affected whitelist entry; Phase 3 then verified clean.</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updated. Multiple analytical and communication docs across folders 01-07. Notably: 05_Iterative_Hardening_Process_Documentation.docx version updated to v1.11 (Deferred Mitigation Policy section). 05_Open_Issues_Registry.docx v1.59 to v1.60 (Section 65). 01_Platform_Package_Version.docx v1.87 to v1.88. Section 47 unchanged at 31 Y / 0 N.</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2.30.41 — May 6, 2026 (Multi-Part Substantive Iteration)</w:t>
      </w:r>
    </w:p>
    <w:p>
      <w:pPr>
        <w:spacing w:after="200" w:line="320"/>
        <w:jc w:val="both"/>
      </w:pPr>
      <w:r>
        <w:rPr>
          <w:rFonts w:ascii="Georgia" w:cs="Georgia" w:eastAsia="Georgia" w:hAnsi="Georgia"/>
          <w:b/>
          <w:bCs/>
          <w:sz w:val="22"/>
          <w:szCs w:val="22"/>
        </w:rPr>
        <w:t>v2.30.41 covers four areas of substantive work. (1) Audit-script improvement implementing whitelist robustness to version-bump patterns; audit_script.py is_paragraph_whitelisted now applies normalized comparison for STABILITY: version-bumped entries, eliminating recurring per-iteration whitelist maintenance after Item 80 version bumps. (2) Content-level proofreading checks 2-5 executed (check 1 spelling deferred due to environmental dictionary unavailability); findings: 11 numerical figure inconsistencies, 15 capitalization inconsistencies, 87 acronym definition gaps. (3) Persona P1 Skeptic simulation executed; 7 findings (rate format inconsistencies, bare claims for headline figures, weak citations in one doc). (4) New analytical document: 05_Readers_Path_Scoping.docx (v1.0) providing scoping specification for a future synthesis document, answering ten design questions on audience, takeaway, scope, format, and decision criterion.</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Findings handling. Per the new uniform 4-phase discipline, all four phases ran. The content-level and persona findings (over 100 distinct items) are documented in OIR Section 64 with a recommended subsequent-iteration schedule for mitigation: v2.30.42 healthcare baseline contradiction ($14,612 vs $14,612); v2.30.43 numerical figure canonicalization; v2.30.44 capitalization consistency for prominent platform terms; v2.30.45 acronym first-use definition gaps in highest-visibility docs.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updated. audit_script.py: whitelist matching enhanced with version-bumped normalization (no version bump on the script itself). 05_Analytical_Framing/05_Readers_Path_Scoping.docx: new file (v1.0). 05_Open_Issues_Registry.docx v1.58 to v1.59 (Section 64). 01_Platform_Package_Version.docx v1.86 to v1.87 (manifest entry added for new doc + changelog + header text updated 58 to 59 word docs, 81 to 82 deliverables). Section 47 unchanged at 31 Y / 0 N.</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2.30.40 — May 6, 2026 (Content-Level Proofreading Checks Integrated into Phase 1 of Harden Cycle)</w:t>
      </w:r>
    </w:p>
    <w:p>
      <w:pPr>
        <w:spacing w:after="200" w:line="320"/>
        <w:jc w:val="both"/>
      </w:pPr>
      <w:r>
        <w:rPr>
          <w:rFonts w:ascii="Georgia" w:cs="Georgia" w:eastAsia="Georgia" w:hAnsi="Georgia"/>
          <w:b/>
          <w:bCs/>
          <w:sz w:val="22"/>
          <w:szCs w:val="22"/>
        </w:rPr>
        <w:t>v2.30.40 closes a documentation gap from v2.30.38. The earlier release added a fourteen-check Content-Level Proofreading Checks Catalog to the harden cycle documentation but did not integrate those checks into the cycle's operating instructions. v2.30.40 updates the Phase 1: Audit section in the Standard Procedure and the Phase 1 Step 1.2 in the Standard Prompt for AI Operators to reference both structural and content-level checks. An AI operator running the harden cycle from the Standard Prompt now has the full catalog visible inline with recommended sequence guidance.</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Iteration discipline note. This iteration found two findings during Phase 3 verification (Item 80's version-bump caused the audit_whitelist.txt entry to stop matching). Per Standing Rule 1, the iteration returned to Phase 2 to address (whitelist refreshed with new version line text), then re-ran Phase 3 (audit completed with zero findings). This is the second time in two iterations the whitelist required maintenance after Item 80 version bumps; audit-script extension to make the whitelist robust to version-bump patterns is a candidate for future work.</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updated. 05_Iterative_Hardening_Process_Documentation.docx version updated to v1.10 (Phase 1: Audit section rewritten + Phase 1 Step 1.2 in AI-operator prompt rewritten). 05_Open_Issues_Registry.docx v1.57 to v1.58 (Section 63 added). 01_Platform_Package_Version.docx v1.85 to v1.86. audit_whitelist.txt: Item 80 version-line entry refreshed. Section 47 unchanged at 31 Y / 0 N.</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2.30.39 — May 6, 2026 (Standing Rule for Abbreviated Clean-Iteration Processing Removed)</w:t>
      </w:r>
    </w:p>
    <w:p>
      <w:pPr>
        <w:spacing w:after="200" w:line="320"/>
        <w:jc w:val="both"/>
      </w:pPr>
      <w:r>
        <w:rPr>
          <w:rFonts w:ascii="Georgia" w:cs="Georgia" w:eastAsia="Georgia" w:hAnsi="Georgia"/>
          <w:b/>
          <w:bCs/>
          <w:sz w:val="22"/>
          <w:szCs w:val="22"/>
        </w:rPr>
        <w:t>v2.30.39 removes a process discipline rule from Item 80 that previously allowed clean audits to skip the Mitigation and Verification phases and proceed to abbreviated documentation. Going forward, the harden cycle is uniformly four-phase: every iteration runs Audit, Mitigate, Verify, and Document regardless of audit findings; every iteration produces a documented release with version bump. Updates to Item 80 spanned four locations: the Standing Rules section, the Standard Procedure intro, an H2 section devoted entirely to the abbreviated-processing pattern (which was removed in full), and the Standard Prompt for AI Operators (where the rule was removed and the remaining rules renumbered).</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updated. 05_Iterative_Hardening_Process_Documentation.docx version updated to v1.9 (rule removal across four locations). 05_Open_Issues_Registry.docx v1.56 to v1.57 (Section 62 added). 01_Platform_Package_Version.docx v1.84 to v1.85. Section 47 unchanged at 31 Y / 0 N.</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2.30.38 — May 6, 2026 (Content-Level Proofreading and Persona Simulation Documentation)</w:t>
      </w:r>
    </w:p>
    <w:p>
      <w:pPr>
        <w:spacing w:after="200" w:line="320"/>
        <w:jc w:val="both"/>
      </w:pPr>
      <w:r>
        <w:rPr>
          <w:rFonts w:ascii="Georgia" w:cs="Georgia" w:eastAsia="Georgia" w:hAnsi="Georgia"/>
          <w:b/>
          <w:bCs/>
          <w:sz w:val="22"/>
          <w:szCs w:val="22"/>
        </w:rPr>
        <w:t>v2.30.38 extends Item 80 with three new sections documenting content-level proofreading checks and persona-based reading-path simulation procedures. The harden cycle's structural-integrity discipline had matured well; content-level proofreading was the dimension that had received less systematic attention. v2.30.38 closes the documentation gap. New sections in Item 80: Content-Level Proofreading Checks Catalog (14 distinct checks documented with severity and priority); Persona-Based Reading-Path Simulation Protocol (execution procedure for the persona simulation, which had previously been described only at the level of who the personas are); Standard Prompt for Persona-Based Reading-Path Simulation (copy-pasteable AI-operator prompt for delegating a persona simulation to another AI).</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updated. 05_Iterative_Hardening_Process_Documentation.docx version updated to v1.8 (three new sections; one new H2 plus body paragraphs each). 05_Open_Issues_Registry.docx v1.55 to v1.56 (Section 61 added). 01_Platform_Package_Version.docx v1.83 to v1.84. Section 47 unchanged at 31 Y / 0 N.</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2.30.37 — May 6, 2026 (Gemini Review PDF Restored)</w:t>
      </w:r>
    </w:p>
    <w:p>
      <w:pPr>
        <w:spacing w:after="200" w:line="320"/>
        <w:jc w:val="both"/>
      </w:pPr>
      <w:r>
        <w:rPr>
          <w:rFonts w:ascii="Georgia" w:cs="Georgia" w:eastAsia="Georgia" w:hAnsi="Georgia"/>
          <w:b/>
          <w:bCs/>
          <w:sz w:val="22"/>
          <w:szCs w:val="22"/>
        </w:rPr>
        <w:t>v2.30.37 restores the original Gemini Review of v1.8 (External AI Review) PDF that was identified as missing from the package in v2.30.36's comprehensive review. The PDF was provided by Jason from external storage and added back to the 07_External_Reviews folder. The manifest entry that was removed in v2.30.36 (because the file was missing at that time) is now restored. The header text in this document is updated to reflect the actual count: 2 PDFs (slideshow + Gemini review), 81 deliverables in total.</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Why this matters. The Gemini Review of v1.8 was the original external AI review of the platform. The platform's Response to Gemini Review document (07_Response_To_Gemini_Review.docx) engages substantively with each of the review's findings (four core strengths and four critical vulnerabilities). Without the original review document accessible, readers of the response had to take the response's characterization of the review's content on trust. With the original review document restored, readers can now compare the response against the source material and verify the engagement is honest and substantive.</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updated. 07_External_Reviews/07_Gemini_Review_of_v1_8.pdf (restored, v1.0 as originally documented). 01_Platform_Package_Version.docx v1.82 to v1.83 (manifest entry restored, header text updated, changelog entry added). 05_Open_Issues_Registry.docx v1.54 to v1.55 (Section 60 documenting the restoration). Manifest now contains 81 filename entries matching 81 files in the package; perfect alignment preserved.</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2.30.36 — May 6, 2026 (Comprehensive Package Review and Cleanup)</w:t>
      </w:r>
    </w:p>
    <w:p>
      <w:pPr>
        <w:spacing w:after="200" w:line="320"/>
        <w:jc w:val="both"/>
      </w:pPr>
      <w:r>
        <w:rPr>
          <w:rFonts w:ascii="Georgia" w:cs="Georgia" w:eastAsia="Georgia" w:hAnsi="Georgia"/>
          <w:b/>
          <w:bCs/>
          <w:sz w:val="22"/>
          <w:szCs w:val="22"/>
        </w:rPr>
        <w:t>v2.30.36 implements a comprehensive review of the package for incorrect references, orphaned content, and orphaned files. Two real findings mitigated: (1) Scope Expansion Plan file (01_Scope_Expansion_Plan_v214_to_v218.md) deleted from package after being orphaned (in package, not in manifest) and operationally obsolete (plan COMPLETE since v2.18.1, ~17 patch versions ago; superseded by canonical Open Issues Registry). (2) Two ghost manifest entries for the missing Gemini Review of v1.8 PDF removed; header text updated to reflect actual counts (1 PDF, 80 deliverables, 58 Word documents).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Manifest integrity now perfect: 80 files in package, 80 manifest entries, 0 orphans, 0 ghosts. False positives investigated and confirmed not findings: a TOC reference using a numerical identifier outside the platform's analytical item sequence (rephrased in this release) and an external federal law section citation captured by the audit's internal-section regex (left as-is, accurate citation). Historical references to deleted file in v2.14-v2.18.1 changelog entries preserved per platform discipline (historical entries describe what was true at the time).</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updated. 05_Open_Issues_Registry.docx v1.53 to v1.54 (Section 59 added documenting comprehensive review). 01_Platform_Package_Version.docx v1.81 to v1.82 (manifest cleanup + header text update + changelog). Section 47 unchanged (31 Y, 0 N).</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2.30.35 — May 6, 2026 (Standard Prompt for AI Operators Added to Item 80)</w:t>
      </w:r>
    </w:p>
    <w:p>
      <w:pPr>
        <w:spacing w:after="200" w:line="320"/>
        <w:jc w:val="both"/>
      </w:pPr>
      <w:r>
        <w:rPr>
          <w:rFonts w:ascii="Georgia" w:cs="Georgia" w:eastAsia="Georgia" w:hAnsi="Georgia"/>
          <w:b/>
          <w:bCs/>
          <w:sz w:val="22"/>
          <w:szCs w:val="22"/>
        </w:rPr>
        <w:t>v2.30.35 adds a Standard Prompt for AI Operators section to Item 80 (Iterative Hardening Process Documentation). The harden cycle process was already comprehensively documented across multiple Item 80 sections; what was missing was a distilled, copy-pasteable prompt for delegating the cycle to another AI profile. The new section contains a framing paragraph, the prompt itself bracketed by BEGIN and END markers, and a closing instructional paragraph. The prompt covers role, six standing rules, all four phases with step-by-step instructions, output formatting, references, and six common failure modes.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updated. 05_Iterative_Hardening_Process_Documentation.docx version updated to v1.7 (new Standard Prompt for AI Operators section). 05_Open_Issues_Registry.docx v1.52 to v1.53 (Section 58 added). 01_Platform_Package_Version.docx v1.80 to v1.81. Section 47 unchanged at 31 Y / 0 N.</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2.30.34 — May 6, 2026 (Iteration 39 Mitigations: Comprehensive Past-Tense Rewrite)</w:t>
      </w:r>
    </w:p>
    <w:p>
      <w:pPr>
        <w:spacing w:after="200" w:line="320"/>
        <w:jc w:val="both"/>
      </w:pPr>
      <w:r>
        <w:rPr>
          <w:rFonts w:ascii="Georgia" w:cs="Georgia" w:eastAsia="Georgia" w:hAnsi="Georgia"/>
          <w:b/>
          <w:bCs/>
          <w:sz w:val="22"/>
          <w:szCs w:val="22"/>
        </w:rPr>
        <w:t>v2.30.34 mitigates 8 real findings from iteration 39's audit of v2.30.33. The previous iteration's exact-string substitution missed wrapped multi-line variants in README/VERSIONLOG and alternate phrasings. v2.30.34 applies a comprehensive rewrite using regex with whitespace flexibility, and adds clarifying leading notes to OIR Sections 52/53/54 'Open issues remaining after v2.30.X' paragraphs.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Affected locations: OIR Sections 52/53/54 (3 paragraphs), Package Version doc v2.30.30 changelog (1 paragraph), README v2.30.29/30/31 entries (3 wrapped instances), VERSIONLOG v2.30.30 entry (1 instance). All rewritten to past-tense with explicit acknowledgment of v2.30.32's definitional change.</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updated. 05_Open_Issues_Registry.docx v1.51 to v1.52 (3 paragraphs rewritten + Section 57 added documenting iteration 39 mitigations). 01_Platform_Package_Version.docx v1.79 to v1.80. README and VERSIONLOG rewrites applied.</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2.30.33 — May 6, 2026 (Iteration 38 Mitigations: Count Cleanup and Semantic Clarification)</w:t>
      </w:r>
    </w:p>
    <w:p>
      <w:pPr>
        <w:spacing w:after="200" w:line="320"/>
        <w:jc w:val="both"/>
      </w:pPr>
      <w:r>
        <w:rPr>
          <w:rFonts w:ascii="Georgia" w:cs="Georgia" w:eastAsia="Georgia" w:hAnsi="Georgia"/>
          <w:b/>
          <w:bCs/>
          <w:sz w:val="22"/>
          <w:szCs w:val="22"/>
        </w:rPr>
        <w:t>v2.30.33 mitigates iteration 38 audit findings on v2.30.32. Two categories: (1) STALE-COUNT (10 instances) where v2.30.32's 32-to-31 count fix was incomplete; comprehensive sweep applied substitutions across OIR, How This Was Built, Package Version doc, README, VERSIONLOG. (2) OLD-SEMANTICS (2 instances) where v2.30.30/v2.30.31 narratives used present-tense 'these remain Mitigated = N because external...' phrasing that became inaccurate after v2.30.32's definitional change; rewritten to past-tense with explicit retrospective clarification.</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updated. 05_How_This_Was_Built.docx (count fixes). 05_Open_Issues_Registry.docx v1.50 to v1.51 (count fixes + semantic clarifications + Section 56 added documenting the iteration 38 mitigations). 01_Platform_Package_Version.docx v1.78 to v1.79 (count fixes + changelog + manifest). README and VERSIONLOG count fixes.</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2.30.32 — May 6, 2026 (Term Definitions Established; Section 47 Re-Evaluated)</w:t>
      </w:r>
    </w:p>
    <w:p>
      <w:pPr>
        <w:spacing w:after="200" w:line="320"/>
        <w:jc w:val="both"/>
      </w:pPr>
      <w:r>
        <w:rPr>
          <w:rFonts w:ascii="Georgia" w:cs="Georgia" w:eastAsia="Georgia" w:hAnsi="Georgia"/>
          <w:b/>
          <w:bCs/>
          <w:sz w:val="22"/>
          <w:szCs w:val="22"/>
        </w:rPr>
        <w:t>v2.30.32 establishes formal term definitions for the platform's loose-end tracking and re-evaluates the Section 47 issue table under the established definitions. The Mitigated column now tracks documentation responsibility status (whether platform documentation is complete) while the Issue Status column tracks issue resolution status (whether the underlying loose end is fully resolved or requires more external work). These were previously conflated; v2.30.32 separates them per Jason's clarified definitions.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Five new definition paragraphs added to Section 47 intro: loose end, addressing a loose end (the four-rule set), Mitigated column definition, Issue Status column definition, why two-column structure matters.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Section 47 table re-evaluated. Eleven rows moved from Mitigated = N to Mitigated = Y because their documentation responsibilities had been fulfilled in prior iterations: OPEN-3, RESEARCH-1/2/4/6, ITEM79-Q1/Q2/Q3, PROCESS-1/2/3. All Status column entries rewritten to use 'Documented v2.30.X (Section Y): [what completed]. Issue resolution requires [external work]' format.</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Section 47 summary statistics updated. Previous: 22 of 31 Mitigated = Y, 10 Mitigated = N. After v2.30.32: 31 of 31 Mitigated = Y. The 100 percent Y rate reflects documentation completeness, not issue resolution. The Issue Status column identifies the 10 issues requiring external engagement for full resolution. New OIR Section 55 documents the definitional changes and re-evaluation.</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updated. 05_Open_Issues_Registry.docx v1.49 to v1.50 (Section 47 intro updated, 5 definition paragraphs added, summary statistics rewritten, How to use this table rewritten, 14 table rows updated, Section 55 added). 01_Platform_Package_Version.docx v1.77 to v1.78.</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2.30.31 — May 6, 2026 (PROCESS-1/2/3 External Validation Pathways)</w:t>
      </w:r>
    </w:p>
    <w:p>
      <w:pPr>
        <w:spacing w:after="200" w:line="320"/>
        <w:jc w:val="both"/>
      </w:pPr>
      <w:r>
        <w:rPr>
          <w:rFonts w:ascii="Georgia" w:cs="Georgia" w:eastAsia="Georgia" w:hAnsi="Georgia"/>
          <w:b/>
          <w:bCs/>
          <w:sz w:val="22"/>
          <w:szCs w:val="22"/>
        </w:rPr>
        <w:t>v2.30.31 addresses the three PROCESS items in OIR Section 5 by extending How This Was Built with a new H1 section 'External Validation Pathways: What Closing PROCESS Gaps Would Require.' The treatment differs from RESEARCH and ITEM79 patterns because PROCESS items are not analytical claims but validation gaps. The new section articulates what engagement would require, what standards it would meet, and what specific pathways are available for each PROCESS item.</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PROCESS-1 (lead author not credentialed): seven disciplines required for review with specific credential standards; pathways (Brookings/AEI/Hamilton/Roosevelt/Niskanen/AEA/NAPA/NTA/CRS/JCT/GAO); closure standard 5-of-7 disciplines documented. PROCESS-2 (AI-only reviews): five formal review pathways with specific submission venues; closure standard 3+ independent credentialed reviews. PROCESS-3 (no model audit): model-validation professional credentials (CFA/ISDA/SR 11-7), five audit categories, pathways (consulting firms, academics, public-interest); closure standard Combined Reform Model and FFIA documented audit minimum.</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Honest acknowledgment that closure requires resources the lead author does not currently have. The platform's appropriate posture is to remain open to external engagement, actively pursue accessible opportunities, and document engagements when they occur. Consistent with v2.30.27's Platform Positioning honesty layer.</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updated. 05_How_This_Was_Built.docx version updated to v1.6 (new H1 section + 3 H3 subsections + closing acknowledgments). 05_Open_Issues_Registry.docx v1.48 to v1.49 with PROCESS-1/2/3 entries updated to reference HTWB section, Section 47 table updated for PROCESS-1/2/3, Section 54 added. 01_Platform_Package_Version.docx v1.76 to v1.77. Section 47 summary unchanged at 22 Y / 10 N; the pattern of partial mitigation now applies to ten rows (RESEARCH-1, 2, 4, 6; ITEM79-Q1, Q2, Q3; PROCESS-1, 2, 3).</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2.30.30 — May 6, 2026 (ITEM79-Q1, Q2, Q3 Response Frameworks)</w:t>
      </w:r>
    </w:p>
    <w:p>
      <w:pPr>
        <w:spacing w:after="200" w:line="320"/>
        <w:jc w:val="both"/>
      </w:pPr>
      <w:r>
        <w:rPr>
          <w:rFonts w:ascii="Georgia" w:cs="Georgia" w:eastAsia="Georgia" w:hAnsi="Georgia"/>
          <w:b/>
          <w:bCs/>
          <w:sz w:val="22"/>
          <w:szCs w:val="22"/>
        </w:rPr>
        <w:t>v2.30.30 addresses the three open questions remaining in item 79 (Federal Infrastructure Fee Transition Mechanics) by extending the document with three new H2 sections, each providing a response framework for one open question. The treatment follows the pattern established in v2.30.29 for RESEARCH items: each section articulates platform proposal, reasonable bounds from publicly available research and historical analogues, response frameworks under different findings, and what still requires external engagement.</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ITEM79-Q1 (competitive carrier transition): five-element transition assistance package (bridge loans, accelerated depreciation, technical assistance, priority access, asset purchase rights), historical analogues from 1996 Telecom Act and rural electrification REA model, frameworks under three different FCC rulemaking findings.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ITEM79-Q2 (private investment incentives): three-pronged response (federal capital ramp, tax incentives, federal acquisition commitment), historical analogues from UK telecom privatization and Norwegian banking restructuring, reasonable bounds on investment behavioral effects (5-30 percent reduction depending on transition assistance design).</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ITEM79-Q3 (tribal nation lands): three architectural elements (opt-in, opt-out, hybrid), existing federal-tribal consultation frameworks (EO 13175, NHPA Section 106, NEPA tribal consultation, Indian Self-Determination Act, ICWA), specific consultation requirements (government-to-government, early, free-prior-informed consent, resourcing). Section also acknowledges the broader platform-wide tribal nation consultation framework remains to be developed.</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updated. 05_Federal_Infrastructure_Fee_Transition_Mechanics.docx version updated to v1.1. 05_Open_Issues_Registry.docx v1.47 to v1.48 with Section 47 table updated for ITEM79-Q1, Q2, Q3 and Section 53 added. 01_Platform_Package_Version.docx v1.75 to v1.76. All three ITEM79 questions were Mitigated = N at the time pending external engagement (under v2.30.32's revised definitions, these have since moved to Mitigated = Y) (FCC rulemaking, carrier behavior modeling, tribal consultation respectively); Section 47 summary unchanged at 22 Y / 10 N.</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2.30.29 — May 6, 2026 (RESEARCH-1 through RESEARCH-6 Treatment)</w:t>
      </w:r>
    </w:p>
    <w:p>
      <w:pPr>
        <w:spacing w:after="200" w:line="320"/>
        <w:jc w:val="both"/>
      </w:pPr>
      <w:r>
        <w:rPr>
          <w:rFonts w:ascii="Georgia" w:cs="Georgia" w:eastAsia="Georgia" w:hAnsi="Georgia"/>
          <w:b/>
          <w:bCs/>
          <w:sz w:val="22"/>
          <w:szCs w:val="22"/>
        </w:rPr>
        <w:t>v2.30.29 addresses six analytical claims that previously required external domain expertise. Two are fully mitigated as straightforward arithmetic the platform had not engaged with: RESEARCH-3 (wage floor disemployment sensitivity at -0.1/-0.2/-0.3 elasticities producing 0.25-0.75 million jobs at risk) and RESEARCH-5 (Sovereign Fund 4 percent return parallel scenario with $62.5T corpus, $1.4T disbursements, $400B deficit reduction equal-weight to base case). Both move from Mitigated = N to Mitigated = Y.</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The remaining four (RESEARCH-1 Federal Reserve interaction, RESEARCH-2 housing market interaction, RESEARCH-4 healthcare cost decomposition, RESEARCH-6 intersectional pay gap analysis) receive platform response frameworks documenting what is known, reasonable bounds, and how the platform would respond under different expert findings. These were marked Mitigated = N at the time because full resolution requires external expert engagement that has not occurred, but their status was substantively articulated; under v2.30.32's revised definitions they have moved to Mitigated = Y reflecting documentation completeness rather than left to inference.</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Section 47 table summary now shows 22 of 31 tracked issues as Mitigated = Y (previously 20), and 10 as Mitigated = N (previously 12).</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updated. Six analytical docs extended with new sections: Sovereign Fund Governance Design (v1.1), Section 8 Housing (v1.1), Wage Floors As Tax Architecture (v1.5), Healthcare Transition Detailed Plan (v1.2), Federal Fiscal Impact Analysis (v1.9), Gender Pay Gap and Indirect Mechanisms (v1.1). OIR v1.46 to v1.47 with all six RESEARCH-1 to 6 entries updated, Section 47 table updated, Section 52 added. Package Version v1.74 to v1.75.</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2.30.28 — May 6, 2026 (RESEARCH-7 Mitigation: Climate-Omission Strategic Reasoning)</w:t>
      </w:r>
    </w:p>
    <w:p>
      <w:pPr>
        <w:spacing w:after="200" w:line="320"/>
        <w:jc w:val="both"/>
      </w:pPr>
      <w:r>
        <w:rPr>
          <w:rFonts w:ascii="Georgia" w:cs="Georgia" w:eastAsia="Georgia" w:hAnsi="Georgia"/>
          <w:b/>
          <w:bCs/>
          <w:sz w:val="22"/>
          <w:szCs w:val="22"/>
        </w:rPr>
        <w:t>v2.30.28 mitigates RESEARCH-7 (Climate-omission strategic reasoning) by extending item 74 (Climate Policy Beyond Grid Modernization) with a new H1 section, 'Strategic Reasoning for the Climate Omission,' that articulates why the platform addresses every other major social-investment domain in detail but treats comprehensive climate policy as a scope omission. RESEARCH-7's status in OIR Section 47 moves from Mitigated = N to Mitigated = Y.</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Strategic reasoning components articulated across seven subsections: Architectural Reform Versus Comprehensive Policy; Advocacy Infrastructure Asymmetry; The IRA Era Changes the Climate Calculus; Scope Discipline as Architectural Integrity; Implicit Climate Co-Benefits Exist; Honest Division of Labor; What This Reasoning Is And Is Not. Plus an Implications for Climate-Engaged Readers section articulating three reasonable responses to the strategic reasoning.</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updated. 05_Climate_Policy_Beyond_Grid_Modernization.docx version updated to v1.2 (new H1 section + 7 H2 subsections + body). 05_Open_Issues_Registry.docx version 1.45 to 1.46 with RESEARCH-7 entry updated and Section 47 table RESEARCH-7 row updated (Mitigated N to Y) and Section 51 added documenting the resolution. 01_Platform_Package_Version.docx version 1.73 to 1.74.</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2.30.27 — May 6, 2026 (Platform Positioning Honesty Layer)</w:t>
      </w:r>
    </w:p>
    <w:p>
      <w:pPr>
        <w:spacing w:after="200" w:line="320"/>
        <w:jc w:val="both"/>
      </w:pPr>
      <w:r>
        <w:rPr>
          <w:rFonts w:ascii="Georgia" w:cs="Georgia" w:eastAsia="Georgia" w:hAnsi="Georgia"/>
          <w:b/>
          <w:bCs/>
          <w:sz w:val="22"/>
          <w:szCs w:val="22"/>
        </w:rPr>
        <w:t>v2.30.27 adds three complementary additions strengthening the platform's honesty about what it is and isn't. Addition 1: new 'Platform Positioning: What This Is And Isn't' section in How This Was Built explicitly distinguishing 'structurally non-partisan' from 'politically neutral', acknowledging that the platform is internally substantiated but not yet externally validated, and itemizing what rigorous testing would require (microsimulation modeling, credentialed review, independent audit, domain expertise on Federal Reserve interaction, labor economics, etc.). Addition 2: AI-resilience cross-link in Manifesto closing the gap where Built For What's Coming was not previously referenced from the Manifesto. Addition 3: 'On Reading This as a Skeptical Citizen' subsection in Manifesto explicitly addressing the values-conditional nature of the platform's appeal.</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updated. 05_How_This_Was_Built.docx version updated to v1.5 (new Platform Positioning section). 02_We_The_People_Platform.docx Manifesto version updated to v2.11 (AI-resilience cross-link + skeptical citizen subsection). 05_Open_Issues_Registry.docx version 1.44 to 1.45 with Section 50 added. 01_Platform_Package_Version.docx version 1.72 to 1.73.</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2.30.26 — May 6, 2026 (Scam/Phishing Benefit Cross-Doc Propagation)</w:t>
      </w:r>
    </w:p>
    <w:p>
      <w:pPr>
        <w:spacing w:after="200" w:line="320"/>
        <w:jc w:val="both"/>
      </w:pPr>
      <w:r>
        <w:rPr>
          <w:rFonts w:ascii="Georgia" w:cs="Georgia" w:eastAsia="Georgia" w:hAnsi="Georgia"/>
          <w:b/>
          <w:bCs/>
          <w:sz w:val="22"/>
          <w:szCs w:val="22"/>
        </w:rPr>
        <w:t>v2.30.26 extends the scam call and phishing attack reduction benefit documentation (added to item 78 in v2.30.25) to other docs. Item 41 (Universal Broadband Access Substantiation): new H1 section added summarizing the benefit and cross-referencing item 78. Item 3 (Civic Infrastructure Pillar): brief reference paragraph added before 'Honest Limits'. Slideshow slide 10 'What the architecture also produces': card 1 renamed to 'FRAUD AND SCAM REDUCTION' with body extended to mention infrastructure-level enforcement of STIR/SHAKEN, DMARC, DNS-level threat blocking.</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Locations skipped with explanation. Adjacent Pillars (item 2): scope mismatch (covers adjacent policy areas, not cross-pillar benefits). Item 51 (Physical Civic Infrastructure): scope mismatch (item 51 is transportation/water/public spaces/energy, not broadband; Jason's reference to 'Item 51 (Universal Broadband)' was a number mismatch — the Universal Broadband substantive doc is item 41 which was updated).</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updated. 05_Universal_Broadband_Access_Substantiation.docx version updated to v1.3. 02_Civic_Infrastructure_Pillar.docx version updated to v2.3. the original Platform Overview deck file (pptx) slide 10 card content updated; PDF regenerated. 05_Open_Issues_Registry.docx version 1.43 to 1.44 with Section 49 added. 01_Platform_Package_Version.docx version 1.71 to 1.72.</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2.30.25 — May 6, 2026 (Scam Call and Phishing Attack Reduction Benefit Documentation)</w:t>
      </w:r>
    </w:p>
    <w:p>
      <w:pPr>
        <w:spacing w:after="200" w:line="320"/>
        <w:jc w:val="both"/>
      </w:pPr>
      <w:r>
        <w:rPr>
          <w:rFonts w:ascii="Georgia" w:cs="Georgia" w:eastAsia="Georgia" w:hAnsi="Georgia"/>
          <w:b/>
          <w:bCs/>
          <w:sz w:val="22"/>
          <w:szCs w:val="22"/>
        </w:rPr>
        <w:t>v2.30.25 documents an additional substantive benefit of the Federal Infrastructure Fee architecture: scam call and phishing attack reduction through infrastructure-level enforcement of existing authentication standards. New H1 section in item 78 covering what infrastructure-level enforcement provides (STIR/SHAKEN, DMARC, SMS authentication, DNS-level blocking, threat intelligence sharing, foreign-origin flagging), what it cannot do (sophisticated phishing, compromised numbers, social engineering, malware, foreign routing, deepfakes), civil liberties safeguards (metadata-only enforcement, transparent block lists, appeals, court oversight, no content scanning), expected impact (qualitative; infrastructure-layer reduction not elimination), and relationship to other platform commitments.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Framing care. Limits receive equal documentation weight as benefits; expected impact is qualitative rather than offering specific percentages; civil liberties safeguards are described as essential preconditions. Consistent with Jason's preference to undersell rather than overstate.</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updated. 05_Federal_Infrastructure_Fee.docx version updated to v1.2 (new H1 section added). 05_Open_Issues_Registry.docx version 1.42 to 1.43 with Section 48 added. 01_Platform_Package_Version.docx version 1.70 to 1.71.</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2.30.24 — May 6, 2026 (Comprehensive Issue Status Summary Table)</w:t>
      </w:r>
    </w:p>
    <w:p>
      <w:pPr>
        <w:spacing w:after="200" w:line="320"/>
        <w:jc w:val="both"/>
      </w:pPr>
      <w:r>
        <w:rPr>
          <w:rFonts w:ascii="Georgia" w:cs="Georgia" w:eastAsia="Georgia" w:hAnsi="Georgia"/>
          <w:b/>
          <w:bCs/>
          <w:sz w:val="22"/>
          <w:szCs w:val="22"/>
        </w:rPr>
        <w:t>v2.30.24 adds OIR Section 47 with a comprehensive issue status summary table consolidating all 31 tracked issues. Includes a new Mitigated Status column (Y or N) tracking whether all loose ends for each issue have been addressed. Y means all loose ends closed; N means at least one loose end remains open, typically because resolution requires external resources.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Table contents. 31 tracked issues across all original-framework categories (CON, OPEN, RESEARCH, SCOPE, PROCESS, PROC) plus item 79's three open questions plus five process improvements added across v2.30.X.Y iterations. Summary: 19 Mitigated (Y), 13 Unresolved (N).</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updated. 05_Open_Issues_Registry.docx version 1.41 to 1.42 with Section 47 added (one comprehensive table; first table in the OIR). 01_Platform_Package_Version.docx version 1.69 to 1.70.</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2.30.23 — May 6, 2026 (audit_script.py Executable Bit)</w:t>
      </w:r>
    </w:p>
    <w:p>
      <w:pPr>
        <w:spacing w:after="200" w:line="320"/>
        <w:jc w:val="both"/>
      </w:pPr>
      <w:r>
        <w:rPr>
          <w:rFonts w:ascii="Georgia" w:cs="Georgia" w:eastAsia="Georgia" w:hAnsi="Georgia"/>
          <w:b/>
          <w:bCs/>
          <w:sz w:val="22"/>
          <w:szCs w:val="22"/>
        </w:rPr>
        <w:t>v2.30.23 marks audit_script.py as executable (+x bit for owner, group, and other). The script's shebang ('#!/usr/bin/env python3') was already correct, so the executable bit allows invocation as './audit_script.py' directly rather than requiring 'python3 audit_script.py'. Convenience improvement noted in iteration 34's observation. Not a hardening pass per se.</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updated. audit_script.py mode bits: +x added for owner, group, other (preserved when distributed via zip). 01_Platform_Package_Version.docx version 1.68 to 1.69. 05_Open_Issues_Registry.docx version 1.40 to 1.41 with Section 46 added.</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2.30.22 — May 6, 2026 (audit_script.py Canonical Implementation)</w:t>
      </w:r>
    </w:p>
    <w:p>
      <w:pPr>
        <w:spacing w:after="200" w:line="320"/>
        <w:jc w:val="both"/>
      </w:pPr>
      <w:r>
        <w:rPr>
          <w:rFonts w:ascii="Georgia" w:cs="Georgia" w:eastAsia="Georgia" w:hAnsi="Georgia"/>
          <w:b/>
          <w:bCs/>
          <w:sz w:val="22"/>
          <w:szCs w:val="22"/>
        </w:rPr>
        <w:t>v2.30.22 implements a substantive process improvement: the canonical audit_script.py at package root, addressing all three audit-script improvement candidates that had accumulated across iterations 19, 26, and 33. Not a hardening pass per se but a process improvement consolidating ad-hoc audit code into a reproducible tool. Iteration 33 had directed that the audit-script substring-match limitation should actually be fixed; v2.30.22 fulfills that direction.</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Implementation. New audit_script.py at package root (~350 lines) implements all standard checks (cross-references, manifest integrity, version sync), the iteration-count pattern sweep with exact-text whitelist + [HISTORICAL] heuristic, whitelist robustness check, and the three accumulated improvement candidates: anchored regex for whitelist entry detection (fix #3, iter 33); section self-check heuristic harmonization (fix #2, iter 26); narrative-block literal-text detection (fix #1, iter 19). Test on v2.30.22 state ran clean: 0 SIG, 0 MIN, 0 OBS findings. All seven whitelist entries found their paragraphs.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updated. New audit_script.py at package root. 05_Iterative_Hardening_Process_Documentation.docx version 1.5 to 1.6 (Phase 1: Audit paragraph references audit_script.py; new 'The audit_script.py Tool' subsection added). 05_Open_Issues_Registry.docx version 1.39 to 1.40 with Section 45 added. 01_Platform_Package_Version.docx version 1.67 to 1.68. audit_whitelist.txt entry for item 80 version line updated to match v1.6 text.</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2.30.21 — May 6, 2026 (Iteration 33 Hardening Pass)</w:t>
      </w:r>
    </w:p>
    <w:p>
      <w:pPr>
        <w:spacing w:after="200" w:line="320"/>
        <w:jc w:val="both"/>
      </w:pPr>
      <w:r>
        <w:rPr>
          <w:rFonts w:ascii="Georgia" w:cs="Georgia" w:eastAsia="Georgia" w:hAnsi="Georgia"/>
          <w:b/>
          <w:bCs/>
          <w:sz w:val="22"/>
          <w:szCs w:val="22"/>
        </w:rPr>
        <w:t>v2.30.21 is the thirty-third iteration of the iterative hardening cycle, second iteration following the codified standard procedure. Audit angles followed Phase 1 of the codified procedure. Two findings: one real (item 81 README descriptor word count stale) and one audit-script false positive (substring-match limitation in audit_whitelist.txt format validation).</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Findings mitigated. I81-DESCRIPTOR-WORD-COUNT (1 instance, MIN): item 81 descriptor claimed ~2,000 words but actual is ~3,233 (item 81 was substantially expanded across v2.30.X.Y iterations). Mitigation: rewrote to reflect current word count and enumerate added content (distributional analysis, comparison to prior architecture, business-side modeling, FFIA reconciliation). Audit-script observation distinguished: WL-METADATA-INCOMPLETE was a substring-match false positive caused by the audit_whitelist.txt documentation header containing format-explanation text. Documented as audit-script improvement candidate.</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updated. README.txt item 81 descriptor rewritten. 01_Platform_Package_Version.docx version 1.66 to 1.67. 05_Open_Issues_Registry.docx version 1.38 to 1.39 with Section 44 added.</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2.30.20 — May 6, 2026 (Iteration 32 Hardening Pass)</w:t>
      </w:r>
    </w:p>
    <w:p>
      <w:pPr>
        <w:spacing w:after="200" w:line="320"/>
        <w:jc w:val="both"/>
      </w:pPr>
      <w:r>
        <w:rPr>
          <w:rFonts w:ascii="Georgia" w:cs="Georgia" w:eastAsia="Georgia" w:hAnsi="Georgia"/>
          <w:b/>
          <w:bCs/>
          <w:sz w:val="22"/>
          <w:szCs w:val="22"/>
        </w:rPr>
        <w:t>v2.30.20 is the thirty-second iteration of the iterative hardening cycle and the first iteration following the codification of the standard harden cycle procedure. Audit angles followed Phase 1 of the codified procedure. Two findings, both on the README item 80 descriptor.</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Findings mitigated. I80-DESCRIPTOR-WORD-COUNT-STALE (1 instance, MIN): README claimed item 80 was ~2,200 words but actual is ~4,500 (item 80 has grown substantially across v2.30.X.Y iterations with whitelist policy, whitelist entries, and the codified process documentation). I80-DESCRIPTOR-COVERAGE-STALE (1 instance, MIN): README descriptor didn't mention the newer content sections. Mitigation: rewrote descriptor to reflect current word count and enumerate additional sections; also corrected a grammar typo (doubled preposition) introduced in v2.30.15.</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updated. README.txt item 80 descriptor rewritten. 01_Platform_Package_Version.docx version 1.65 to 1.66. 05_Open_Issues_Registry.docx version 1.37 to 1.38 with Section 43 added.</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2.30.19 — May 6, 2026 (Documentation Catch-Up + Process Codification)</w:t>
      </w:r>
    </w:p>
    <w:p>
      <w:pPr>
        <w:spacing w:after="200" w:line="320"/>
        <w:jc w:val="both"/>
      </w:pPr>
      <w:r>
        <w:rPr>
          <w:rFonts w:ascii="Georgia" w:cs="Georgia" w:eastAsia="Georgia" w:hAnsi="Georgia"/>
          <w:b/>
          <w:bCs/>
          <w:sz w:val="22"/>
          <w:szCs w:val="22"/>
        </w:rPr>
        <w:t>v2.30.19 adds documentation that was missing from the platform: OIR sections for the two clean iterations on v2.30.18 (iterations 30 and 31, which had previously been reported in chat but not added to the platform). v2.30.19 also adds a new section to item 80 codifying the standard harden cycle process for use in subsequent iterations. Not a hardening pass per se but a documentation completeness and process formalization release.</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Content additions. New OIR Section 41 documenting iteration 30 (clean iteration validating the v2.30.17 exact-text whitelist mechanism end-to-end and the v2.30.18 version-bumped maintenance update). New OIR Section 42 documenting iteration 31 (clean iteration confirming Calculator HTML consistency and acronym consistency across docs; second consecutive clean iteration on v2.30.18). New 'The Harden Cycle Process — Standard Procedure' section in item 80, with sub-headings for the four phases (Audit, Mitigate, Verify, Document), clean iteration handling, versioning rules, and documentation of the recursive meta-trigger pattern as a known persistent issue.</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updated. 05_Iterative_Hardening_Process_Documentation.docx version 1.4 to 1.5 (new process section). 05_Open_Issues_Registry.docx version 1.36 to 1.37 (Sections 41 and 42 added). 01_Platform_Package_Version.docx version 1.64 to 1.65. audit_whitelist.txt entry for item 80 version line updated to match v1.5 text (version-bumped maintenance step).</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2.30.18 — May 6, 2026 (Iteration 29 Hardening Pass)</w:t>
      </w:r>
    </w:p>
    <w:p>
      <w:pPr>
        <w:spacing w:after="200" w:line="320"/>
        <w:jc w:val="both"/>
      </w:pPr>
      <w:r>
        <w:rPr>
          <w:rFonts w:ascii="Georgia" w:cs="Georgia" w:eastAsia="Georgia" w:hAnsi="Georgia"/>
          <w:b/>
          <w:bCs/>
          <w:sz w:val="22"/>
          <w:szCs w:val="22"/>
        </w:rPr>
        <w:t>v2.30.18 is the twenty-ninth iteration of the iterative hardening cycle and the first using the v2.30.17 exact-text whitelist mechanism. Audit angles: v2.30.17 mitigation verification; iteration-count sweep using the new exact-text whitelist; Section 39 self-check. One real finding: the audit_whitelist.txt entry for item 80's version line was outdated after v2.30.17 bumped item 80 to v1.4. First instance of the version-bumped maintenance step in action.</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Findings mitigated. WHITELIST-OUTDATED (1 instance, MIN, version-bumped maintenance): the whitelist entry was extracted from v2.30.16 state when item 80 was at v1.3; v2.30.17 appended a new Updated clause to item 80's version line. The exact-match whitelist correctly no longer matched the modified paragraph, and the audit flagged it as expected. Mitigation: re-extracted the current v1.4 version line text and updated the whitelist entry. Audit re-ran clean. This validates that the version-bumped maintenance process works as designed.</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updated. audit_whitelist.txt entry for item 80 version line updated to match current v1.4 text. 01_Platform_Package_Version.docx version 1.63 to 1.64. 05_Open_Issues_Registry.docx version 1.35 to 1.36 with Section 40 added.</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2.30.17 — May 6, 2026 (Whitelist Migration to Exact-Text Format)</w:t>
      </w:r>
    </w:p>
    <w:p>
      <w:pPr>
        <w:spacing w:after="200" w:line="320"/>
        <w:jc w:val="both"/>
      </w:pPr>
      <w:r>
        <w:rPr>
          <w:rFonts w:ascii="Georgia" w:cs="Georgia" w:eastAsia="Georgia" w:hAnsi="Georgia"/>
          <w:b/>
          <w:bCs/>
          <w:sz w:val="22"/>
          <w:szCs w:val="22"/>
        </w:rPr>
        <w:t>v2.30.17 implements a structural improvement to the audit-script whitelist policy originally introduced in v2.30.12. The change addresses a brittleness in the original implementation, where each entry's distinctive phrase could itself contain literal text that the audit was designed to detect. The migration moves to an exact-paragraph-text whitelist stored in a separate file at package root. Not a hardening pass per se but a process improvement, similar to v2.30.12's original implementation.</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Implementation. New file audit_whitelist.txt at package root contains the seven current whitelist entries in exact-text format. Each entry has metadata headers (FILE, CATEGORY, REASON, STABILITY, ADDED) plus TEXT_START/TEXT_END delimited exact paragraph text. Audit behavior: when iterating package paragraphs, the script checks each paragraph's exact text against whitelist entries for that file. Matched paragraphs are excluded from all audit checks. The whitelist file itself is excluded from audit scanning by extension.</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Advantages over the v2.30.12 distinctive-phrase approach: no circular comparison (whitelist text never passes through audit pattern matching); automatic edit detection (modified paragraphs no longer exact-match and get audited normally); self-documenting (whitelist file shows actual intentional content); more rigorous (exact match has no edge cases). Migration tested on v2.30.16 state: six iteration-count occurrences in the package, all six exact-matched whitelist entries, zero flagged.</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updated. New audit_whitelist.txt at package root with seven entries. 05_Iterative_Hardening_Process_Documentation.docx version 1.3 to 1.4 (whitelist policy section updated to describe exact-text mechanism; entries section renamed and body text updated; canonical-source note added before table). 05_Open_Issues_Registry.docx version 1.34 to 1.35 with Section 39 added. 01_Platform_Package_Version.docx version 1.62 to 1.63.</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2.30.16 — May 6, 2026 (Iteration 28 Hardening Pass)</w:t>
      </w:r>
    </w:p>
    <w:p>
      <w:pPr>
        <w:spacing w:after="200" w:line="320"/>
        <w:jc w:val="both"/>
      </w:pPr>
      <w:r>
        <w:rPr>
          <w:rFonts w:ascii="Georgia" w:cs="Georgia" w:eastAsia="Georgia" w:hAnsi="Georgia"/>
          <w:b/>
          <w:bCs/>
          <w:sz w:val="22"/>
          <w:szCs w:val="22"/>
        </w:rPr>
        <w:t>v2.30.16 is the twenty-eighth iteration of the iterative hardening cycle and the fifth using the whitelist policy. Audit angles: v2.30.15 mitigation verification; canonical OPEN-1 and OPEN-2 phrasing propagation across key docs. Three findings, all recurrences of the meta-trigger pattern in v2.30.15 narrative documentation (eleventh occurrence across the cycle).</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Findings mitigated. META-TRIGGER recurrence (3 instances, MIN) in v2.30.15 narrative locations: VERSIONLOG v2.30.15 FINDINGS MITIGATED block, Package Version doc v2.30.15 changelog narrative, and OIR Section 37 (with 2 occurrences in the same paragraph). All three involved describing the iteration 27 README fix by quoting the literal phrasing being changed. Mitigation: rewrote all narrative blocks using abstracted descriptions without quoting the original phrasing.</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updated. README.txt v2.30.16 entry added. VERSIONLOG.txt v2.30.15 entry rewritten and v2.30.16 entry added. 01_Platform_Package_Version.docx v2.30.15 changelog narrative rewritten; version 1.61 to 1.62. 05_Open_Issues_Registry.docx version 1.33 to 1.34 with Section 38 added and Section 37 cleaned of meta-trigger quotes.</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2.30.15 — May 6, 2026 (Iteration 27 Hardening Pass)</w:t>
      </w:r>
    </w:p>
    <w:p>
      <w:pPr>
        <w:spacing w:after="200" w:line="320"/>
        <w:jc w:val="both"/>
      </w:pPr>
      <w:r>
        <w:rPr>
          <w:rFonts w:ascii="Georgia" w:cs="Georgia" w:eastAsia="Georgia" w:hAnsi="Georgia"/>
          <w:b/>
          <w:bCs/>
          <w:sz w:val="22"/>
          <w:szCs w:val="22"/>
        </w:rPr>
        <w:t>v2.30.15 is the twenty-seventh iteration of the iterative hardening cycle and the fourth using the whitelist policy. Audit angles: v2.30.14 mitigation verification; pre-existing README content scan; VERSIONLOG case-insensitive sweep. One real finding: README v2.29 entry's item 80 descriptor used present-tense phrasing about iteration count that is no longer accurate.</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Findings mitigated. README-LINE-PREEXISTING (1 instance, MIN): README's v2.29 changelog entry described item 80 with present-tense phrasing about the cycle's iteration count that was accurate at v2.29 but became misleading as iterations continued. The descriptor was targeted for update in v2.30.10 but the fix did not apply due to README line-wrapping. Mitigation: rewrote to use 'lessons learned across the hardening cycle's iterations to date as of' — generalized phrasing that remains accurate as the cycle continues.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updated. README.txt v2.29 entry item 80 descriptor rewritten. 01_Platform_Package_Version.docx version 1.60 to 1.61. 05_Open_Issues_Registry.docx version 1.32 to 1.33 with Section 37 added.</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2.30.14 — May 6, 2026 (Iteration 26 Hardening Pass)</w:t>
      </w:r>
    </w:p>
    <w:p>
      <w:pPr>
        <w:spacing w:after="200" w:line="320"/>
        <w:jc w:val="both"/>
      </w:pPr>
      <w:r>
        <w:rPr>
          <w:rFonts w:ascii="Georgia" w:cs="Georgia" w:eastAsia="Georgia" w:hAnsi="Georgia"/>
          <w:b/>
          <w:bCs/>
          <w:sz w:val="22"/>
          <w:szCs w:val="22"/>
        </w:rPr>
        <w:t>v2.30.14 is the twenty-sixth iteration of the iterative hardening cycle and the third iteration using the whitelist policy. Audit angles: TOC entry titles vs actual document titles; OIR Section 1 introduction staleness; v2.30.13 whitelist verification. One real finding: the recursive meta-trigger pattern recurred in two v2.30.13 narrative locations (tenth occurrence across the cycle).</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Findings mitigated. META-TRIGGER recurrence (2 instances, MIN): Package Version doc v2.30.13 changelog and README v2.30.13 entry both used the literal iteration-count phrase when describing the audit's sweep results. Mitigation: rewrote both narratives to use 'iteration-count' as the abstracted descriptor. VERSIONLOG v2.30.13 entry was clean (0 occurrences) demonstrating that the lesson can be applied at write-time when verification is active.</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updated. README.txt v2.30.13 entry rewritten. 01_Platform_Package_Version.docx v2.30.13 changelog narrative rewritten; version 1.59 to 1.60. 05_Open_Issues_Registry.docx version 1.31 to 1.32 with Section 36 added.</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2.30.13 — May 6, 2026 (Iteration 25 Hardening Pass)</w:t>
      </w:r>
    </w:p>
    <w:p>
      <w:pPr>
        <w:spacing w:after="200" w:line="320"/>
        <w:jc w:val="both"/>
      </w:pPr>
      <w:r>
        <w:rPr>
          <w:rFonts w:ascii="Georgia" w:cs="Georgia" w:eastAsia="Georgia" w:hAnsi="Georgia"/>
          <w:b/>
          <w:bCs/>
          <w:sz w:val="22"/>
          <w:szCs w:val="22"/>
        </w:rPr>
        <w:t>v2.30.13 is the twenty-fifth iteration of the iterative hardening cycle, and the second iteration to use the v2.30.12 whitelist policy. Audit angle: comprehensive numerical/canonical-decision consistency sweep across all docs (stale healthcare rates, key-figure variance, OPEN-1/OPEN-2 propagation). One finding mitigated by adding a new whitelist entry: the OPEN-1 entry in OIR Section 2 documents four pre-canonical healthcare rate variations that OPEN-1 resolved; references to those variations within the documentation are not current claims. The whitelist's seventh entry covers this case.</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Findings mitigated. STALE-HEALTH-RATE in OIR Section 2 OPEN-1 entry (1 instance, MIN, false positive): mitigated by extending the whitelist with a Category 2 (previously-documented inconsistency) entry. This is the first non-iteration-count whitelist entry, demonstrating that the whitelist policy generalizes beyond the initial use case. The audit's [HISTORICAL] heuristic also correctly classified four other occurrences as historical references without needing whitelist entries (they used keywords like 'old', 'previous', 'changed from'). Iteration-count sweep with whitelist applied: 7 whitelisted, 0 flagged — v2.30.12 whitelist continues to function.</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updated. 05_Iterative_Hardening_Process_Documentation.docx version 1.2 to 1.3 with new whitelist entry added to the table and the explanatory section updated. 05_Open_Issues_Registry.docx version 1.30 to 1.31 with Section 35 added. 01_Platform_Package_Version.docx version 1.58 to 1.59.</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2.30.12 — May 6, 2026 (Audit-Script Whitelist Implementation)</w:t>
      </w:r>
    </w:p>
    <w:p>
      <w:pPr>
        <w:spacing w:after="200" w:line="320"/>
        <w:jc w:val="both"/>
      </w:pPr>
      <w:r>
        <w:rPr>
          <w:rFonts w:ascii="Georgia" w:cs="Georgia" w:eastAsia="Georgia" w:hAnsi="Georgia"/>
          <w:b/>
          <w:bCs/>
          <w:sz w:val="22"/>
          <w:szCs w:val="22"/>
        </w:rPr>
        <w:t>v2.30.12 implements the audit-script whitelist policy proposed in iteration 23. Not a hardening pass per se but rather a process improvement to the hardening cycle's tooling. Addresses persistent false-positive findings caused by legitimate historical references and previously-documented meta-trigger instances. The recursive meta-trigger pattern had recurred nine times across iterations 10, 11, 13, 14, 15, 19, 21, 22, 23.</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Implementation. New section 'Audit-Script Whitelist Policy' added to item 80 (Iterative Hardening Process Documentation) explaining the policy and its maintenance. Six initial whitelist entries documented in a table within item 80: three for legitimate historical references (item 80 version line, OIR Section 21 v2.29 entry, Package Version doc v2.30 entry); three for previously-documented meta-trigger instances (OIR Section 29, OIR Section 30, Package Version doc v2.30.7 entry). Audit script will check whitelist before flagging matches; whitelisted matches are logged as 'whitelisted' for transparency rather than flagged as findings.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updated. 05_Iterative_Hardening_Process_Documentation.docx version 1.1 to 1.2 with new 'Audit-Script Whitelist Policy' section and initial whitelist table. 05_Open_Issues_Registry.docx version 1.29 to 1.30 with Section 34 added. 01_Platform_Package_Version.docx version 1.57 to 1.58.</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2.30.11 — May 6, 2026 (Iteration 23 Hardening Pass)</w:t>
      </w:r>
    </w:p>
    <w:p>
      <w:pPr>
        <w:spacing w:after="200" w:line="320"/>
        <w:jc w:val="both"/>
      </w:pPr>
      <w:r>
        <w:rPr>
          <w:rFonts w:ascii="Georgia" w:cs="Georgia" w:eastAsia="Georgia" w:hAnsi="Georgia"/>
          <w:b/>
          <w:bCs/>
          <w:sz w:val="22"/>
          <w:szCs w:val="22"/>
        </w:rPr>
        <w:t>v2.30.11 is the twenty-third iteration of the iterative hardening cycle. Audit angles: case-insensitive sweep (prior audit was case-sensitive and missed capitalized variants); fixed section-header detection (prior audit matched 'Section N:' references in OIR version-line metadata rather than actual section headers). Five findings: four pre-existing meta-trigger occurrences in OIR Section 31 plus one new in Section 32. Ninth occurrence of the recursive meta-trigger pattern across the cycle.</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Findings mitigated. META-TRIGGER in OIR Section 31 (4 occurrences): the iter 21 documentation contained iteration-count quotes in a 'use generalized language' parenthetical describing the iter 21 mitigation. Iter 22's narrative cleanup updated README, VERSIONLOG, and Package Version doc but missed Section 31 itself. Mitigation: rewrote Section 31 parenthetical using descriptive language. META-TRIGGER in OIR Section 32 (1 occurrence): iter 22 documentation contained a capitalized iteration-count quote in a parenthetical. Mitigation: rewrote the parenthetical to characterize what the audit-angles section header references rather than what it does not.</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updated. 05_Open_Issues_Registry.docx version 1.28 to 1.29 with Section 33 added and Sections 31 and 32 cleaned of meta-trigger quotes. 01_Platform_Package_Version.docx version 1.56 to 1.57.</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2.30.10 — May 6, 2026 (Iteration 22 Hardening Pass)</w:t>
      </w:r>
    </w:p>
    <w:p>
      <w:pPr>
        <w:spacing w:after="200" w:line="320"/>
        <w:jc w:val="both"/>
      </w:pPr>
      <w:r>
        <w:rPr>
          <w:rFonts w:ascii="Georgia" w:cs="Georgia" w:eastAsia="Georgia" w:hAnsi="Georgia"/>
          <w:b/>
          <w:bCs/>
          <w:sz w:val="22"/>
          <w:szCs w:val="22"/>
        </w:rPr>
        <w:t>v2.30.10 is the twenty-second iteration of the iterative hardening cycle. Audit angle: v2.30.9 mitigation verification and narrative meta-trigger sweep across all v2.30.9 documentation locations. Five findings, all five were recurrences of the recursive meta-trigger pattern (eighth occurrence across the cycle) in narrative documentation where iteration-count phrasing being fixed was quoted literally in the descriptions of the fix.</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Findings mitigated. META-TRIGGER recurrences (5 instances): README v2.30.9 entry had one literal quote plus one separate item 80 descriptor that hadn't been updated when item 80 itself was generalized; VERSIONLOG v2.30.9 FINDINGS MITIGATED block had four literal quotes in bulleted before/after fix descriptions; Package Version doc v2.30.9 changelog had one literal quote. Mitigation: rewrote all narrative blocks using fully abstracted language characterizing the changes rather than quoting the original phrasing. README item 80 descriptor updated to use generalized hardening-cycle language.</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updated. README.txt v2.30.9 entry rewritten plus item 80 descriptor updated. VERSIONLOG.txt v2.30.9 FINDINGS MITIGATED block rewritten. 01_Platform_Package_Version.docx v2.30.9 changelog narrative rewritten; version 1.55 to 1.56. 05_Open_Issues_Registry.docx version 1.27 to 1.28 with Section 32 added.</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2.30.9 — May 6, 2026 (Iteration 21 Hardening Pass)</w:t>
      </w:r>
    </w:p>
    <w:p>
      <w:pPr>
        <w:spacing w:after="200" w:line="320"/>
        <w:jc w:val="both"/>
      </w:pPr>
      <w:r>
        <w:rPr>
          <w:rFonts w:ascii="Georgia" w:cs="Georgia" w:eastAsia="Georgia" w:hAnsi="Georgia"/>
          <w:b/>
          <w:bCs/>
          <w:sz w:val="22"/>
          <w:szCs w:val="22"/>
        </w:rPr>
        <w:t>v2.30.9 is the twenty-first iteration of the iterative hardening cycle. Angle: item 80 (Hardening Process Documentation) actual content staleness check after iteration 20's clean result. Two real findings about item 80; three audit-script path-assumption false negatives distinguished.</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Findings mitigated. I80-CONTENT-STALE (MIN): item 80 document content had four iteration-count references; TOC was generalized in v2.30.7 but body content was not. Updated five specific phrases to use generalized language. I80-CONTENT-INCOMPLETE (MIN): item 80's iteration-by-iteration summary ended at iteration 12; the cycle has completed iteration 20. Added a comprehensive paragraph covering iterations 13-20 with brief findings summaries; extended Meta-Issues section with documented recursive meta-trigger pattern recurrences (six total) and silent-code-failure pattern observations.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updated. 05_Iterative_Hardening_Process_Documentation.docx version 1.0 to 1.1 with content extended through iteration 20 and language generalized. 05_Open_Issues_Registry.docx version 1.26 to 1.27 with Section 31 added. 01_Platform_Package_Version.docx version 1.54 to 1.55.</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2.30.8 — May 6, 2026 (Iteration 19 Hardening Pass)</w:t>
      </w:r>
    </w:p>
    <w:p>
      <w:pPr>
        <w:spacing w:after="200" w:line="320"/>
        <w:jc w:val="both"/>
      </w:pPr>
      <w:r>
        <w:rPr>
          <w:rFonts w:ascii="Georgia" w:cs="Georgia" w:eastAsia="Georgia" w:hAnsi="Georgia"/>
          <w:b/>
          <w:bCs/>
          <w:sz w:val="22"/>
          <w:szCs w:val="22"/>
        </w:rPr>
        <w:t>v2.30.8 is the nineteenth iteration of the iterative hardening cycle. Audit angle: v2.30.7 mitigation verification. Six findings: three meta-trigger occurrences in v2.30.7 documentation narratives, plus three manifest version mismatches for documents whose content was bumped without corresponding manifest updates.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Findings mitigated. META-TRIGGER recurrence (3 instances): the v2.30.7 entries in the Package Version doc changelog, VERSIONLOG, and README all used the literal lowercase phrases being fixed when describing the fix. Sixth occurrence of this pattern across the hardening cycle. Mitigation: rewrote narratives using abstracted language that describes what was changed without quoting the literal text being fixed. MANIFEST-OUT-OF-SYNC (3 instances): three docs had version stamps bumped in v2.30.7 (Civic Infrastructure Pillar to v2.2; Civic Infrastructure Architectural Framing to v1.3; CCP WhitePaper to v1.1) but manifest entries weren't updated. Mitigation: corrected the three manifest entries.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updated. 01_Platform_Package_Version.docx version 1.53 to 1.54 with v2.30.7 changelog narrative rewritten and three manifest entries corrected. VERSIONLOG.txt v2.30.7 section rewritten to remove literal lowercase quotes. README.txt v2.30.7 entry rewritten. 05_Open_Issues_Registry.docx version 1.25 to 1.26 with Section 30 added.</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2.30.7 — May 6, 2026 (Iteration 18 Hardening Pass)</w:t>
      </w:r>
    </w:p>
    <w:p>
      <w:pPr>
        <w:spacing w:after="200" w:line="320"/>
        <w:jc w:val="both"/>
      </w:pPr>
      <w:r>
        <w:rPr>
          <w:rFonts w:ascii="Georgia" w:cs="Georgia" w:eastAsia="Georgia" w:hAnsi="Georgia"/>
          <w:b/>
          <w:bCs/>
          <w:sz w:val="22"/>
          <w:szCs w:val="22"/>
        </w:rPr>
        <w:t>v2.30.7 is the eighteenth iteration of the iterative hardening cycle. Audit angles: TOC entries vs document content alignment; capitalization consistency. One explicit finding plus one related observation, both mitigated. Plus selective capitalization fixes for 'Sovereign Fund' inconsistencies.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Findings mitigated. TOC-STALE-ITEM-80 (MIN): item 80 TOC entry generalized from 'twelve iterations of the hardening cycle' to 'multiple iterations' to avoid future staleness. Item 81 TOC entry adequacy: appended v2.30 enhancements description (Behavioral Elasticity Sensitivity Analysis, Distributional Impact Analysis, FFIA Reconciliation, filer-count correction); updated version stamp from v1.0/~2,000 words to v1.1/~3,200 words. Sovereign Fund capitalization: applied capitalization fixes across docs for clearly platform-specific references; preserved appropriate generic literature references.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updated. 01_Platform_Package_TOC.docx version updated. Multiple analytical docs received Sovereign Fund capitalization fixes with version bumps. 05_Open_Issues_Registry.docx version 1.24 to 1.25 with Section 29 added. 01_Platform_Package_Version.docx version 1.52 to 1.53.</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2.30.6 — May 6, 2026 (Iteration 17 Hardening Pass)</w:t>
      </w:r>
    </w:p>
    <w:p>
      <w:pPr>
        <w:spacing w:after="200" w:line="320"/>
        <w:jc w:val="both"/>
      </w:pPr>
      <w:r>
        <w:rPr>
          <w:rFonts w:ascii="Georgia" w:cs="Georgia" w:eastAsia="Georgia" w:hAnsi="Georgia"/>
          <w:b/>
          <w:bCs/>
          <w:sz w:val="22"/>
          <w:szCs w:val="22"/>
        </w:rPr>
        <w:t>v2.30.6 is the seventeenth iteration of the iterative hardening cycle. Audit angle: slideshow content cross-consistency and v2.30.5 update verification. One real finding: TOC item descriptions for the slideshow used '15 slides' but the actual deck has 16 slides (cover + 15 content slides).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Findings mitigated. SLIDE-COUNT-MISMATCH (MIN): TOC item 53 (PDF) and item 54 (PowerPoint) descriptions updated from '15 slides' to '16 slides (cover + 15 content slides)'. The supporter reading path elsewhere in TOC was already correct ('15 slides plus a cover page').</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updated. 01_Platform_Package_TOC.docx version updated. 05_Open_Issues_Registry.docx version 1.23 to 1.24 with Section 28 added. 01_Platform_Package_Version.docx version 1.51 to 1.52.</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2.30.5 — May 6, 2026 (Slideshow Content Sync)</w:t>
      </w:r>
    </w:p>
    <w:p>
      <w:pPr>
        <w:spacing w:after="200" w:line="320"/>
        <w:jc w:val="both"/>
      </w:pPr>
      <w:r>
        <w:rPr>
          <w:rFonts w:ascii="Georgia" w:cs="Georgia" w:eastAsia="Georgia" w:hAnsi="Georgia"/>
          <w:b/>
          <w:bCs/>
          <w:sz w:val="22"/>
          <w:szCs w:val="22"/>
        </w:rPr>
        <w:t>v2.30.5 syncs the platform overview slideshow with the platform's current state. The slideshow had been flagged as 'low-priority polish' across multiple iterations; v2.30.5 closes the acknowledged gap. Last substantive slideshow update was v2.26.2; intervening work (v2.27 through v2.30.4) had not propagated.</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Slide-level changes. Slide 11 healthcare funding row updated from outdated '6% empl + 4% wkr + 2% high-earner' to canonical '4% empl + 2% wkr (canonical OPEN-1) + graduated 5/10/15 surcharge above $250K/$500K/$1M'. Slide 14 technical foundation descriptor updated from '74 documents, 19 mathematical models' to '81 items, 19 mathematical models, ~12,000 formulas, complete analytical defense, plus 16 iterations of process hardening (item 80 documents the methodology)'. Slide 16 'Going deeper' Analytical Framing column extended with '(incl. Transition Mechanics)' parenthetical (item 79) and 'Hardening Process + Income Tax Architecture (OPEN-3)' (items 80, 81).</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PDF export. The slideshow manifest entries listed both PowerPoint and PDF formats; the PDF file was missing from the package as shipped. v2.30.5 generates a fresh PDF from the updated PowerPoint and places it at the manifest-expected location.</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updated. the original Platform Overview deck file (pptx) version 1.5 to 1.6. the original Platform Overview deck file (pdf) added at version 1.6 (was missing from package). 05_Open_Issues_Registry.docx version 1.22 to 1.23 with Section 27 added. 01_Platform_Package_Version.docx version 1.50 to 1.51.</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2.30.4 — May 6, 2026 (Iteration 16 Hardening Pass)</w:t>
      </w:r>
    </w:p>
    <w:p>
      <w:pPr>
        <w:spacing w:after="200" w:line="320"/>
        <w:jc w:val="both"/>
      </w:pPr>
      <w:r>
        <w:rPr>
          <w:rFonts w:ascii="Georgia" w:cs="Georgia" w:eastAsia="Georgia" w:hAnsi="Georgia"/>
          <w:b/>
          <w:bCs/>
          <w:sz w:val="22"/>
          <w:szCs w:val="22"/>
        </w:rPr>
        <w:t>v2.30.4 is the sixteenth iteration of the iterative hardening cycle. Angles: Section 25 self-check, TOC reading-path completeness, improved manifest version detection. One real multi-part finding for TOC reading paths.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Findings mitigated. READING-PATH-RANGE (MIN, multi-part): TOC reading paths had not been updated since item 78 was added. Updated package size from 'seventy-eight items' to 'eighty-one items', supporter path range from 'items 63 through 78' to 'items 63 through 81' (and 'sixteen specific topics' to 'nineteen specific topics'). Elected official path extended to include items 79 (telecom/judiciary committees), 80 (transparency oversight), 81 (finance/ways-and-means committees). Supporter path's 'most actionable items for advocacy' extended with v2.28-v2.30 items. Audit-script limitations: slideshow path assumption was wrong (slideshow is at 06_Presentation_Materials, not 01_Start_Here); OPEN-3 substantively-addressed marker check matched earlier OPEN-3 mention rather than the entry.</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updated. 01_Platform_Package_TOC.docx version updated. 05_Open_Issues_Registry.docx version 1.21 to 1.22 with Section 26 added. 01_Platform_Package_Version.docx version 1.49 to 1.50.</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2.30.3 — May 6, 2026 (Iteration 15 Hardening Pass)</w:t>
      </w:r>
    </w:p>
    <w:p>
      <w:pPr>
        <w:spacing w:after="200" w:line="320"/>
        <w:jc w:val="both"/>
      </w:pPr>
      <w:r>
        <w:rPr>
          <w:rFonts w:ascii="Georgia" w:cs="Georgia" w:eastAsia="Georgia" w:hAnsi="Georgia"/>
          <w:b/>
          <w:bCs/>
          <w:sz w:val="22"/>
          <w:szCs w:val="22"/>
        </w:rPr>
        <w:t>v2.30.3 is the fifteenth iteration of the iterative hardening cycle. The audit took the angle of reverse cross-reference checking: when item 81 references items 19/26/27/61/76, do all five reference back? Plus mitigation verification. Two findings, both real, both mitigated.</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Findings mitigated. RECURSIVE-META-TRIGGER in OIR Section 24 (SIG): the iteration 14 documentation included a verification statement that literally quoted the offending text from prior iterations, re-triggering the same audit signal it documented as fixed. This pattern has now recurred five times (iterations 10, 11, 13, 14, 15). Mitigation: rewrote verification using neutral language. WTMFY-NO-REVERSE-REF (MIN): What This Means For You did not reference item 81 despite item 81's Cross-References section listing item 27. Mitigation: added paragraph in WTMFY's 'Why the High-Earner Architecture Is Reasonable' section with item 81 reference and three-component revenue breakdown.</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updated. 05_What_This_Means_For_You.docx version updated. 05_Open_Issues_Registry.docx version 1.20 to 1.21 with Section 25 added. 01_Platform_Package_Version.docx version 1.48 to 1.49.</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2.30.2 — May 6, 2026 (Iteration 14 Hardening Pass)</w:t>
      </w:r>
    </w:p>
    <w:p>
      <w:pPr>
        <w:spacing w:after="200" w:line="320"/>
        <w:jc w:val="both"/>
      </w:pPr>
      <w:r>
        <w:rPr>
          <w:rFonts w:ascii="Georgia" w:cs="Georgia" w:eastAsia="Georgia" w:hAnsi="Georgia"/>
          <w:b/>
          <w:bCs/>
          <w:sz w:val="22"/>
          <w:szCs w:val="22"/>
        </w:rPr>
        <w:t>v2.30.2 is the fourteenth iteration of the iterative hardening cycle. The audit took the new angle of cascading numerical updates and found six signals: two real findings, three false positives (different $200B figures in different contexts), and one audit-script regex limitation.</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Findings mitigated. ITEM81-VER (real, MIN): item 81's content was enhanced in v2.30 but version metadata stayed at v1.0 because the version-bump code expected the version line to start with 'v' but item 81's line starts with 'Jason Robertson'. Mitigation: explicit search for embedded ' v1.0 ' pattern; bumped to v1.1 with v2.30 update note. DTRT-OUT-OF-DATE (real, MIN): Does This Raise Taxes still showed '$200 billion' for the three high-earner mechanisms; v2.30 refined this to $225 billion. Mitigation: updated DTRT to $225 billion with explicit reference to item 81 three-component breakdown.</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updated. 05_Federal_Income_Tax_Revenue_Modified_Architecture.docx version 1.0 to 1.1 (with retroactive v2.30 update note). 05_Does_This_Raise_Taxes.docx version updated. 05_Open_Issues_Registry.docx version 1.19 to 1.20 with Section 24 added. 01_Platform_Package_Version.docx version 1.47 to 1.48.</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2.30.1 — May 6, 2026 (Iteration 13 Hardening Pass)</w:t>
      </w:r>
    </w:p>
    <w:p>
      <w:pPr>
        <w:spacing w:after="200" w:line="320"/>
        <w:jc w:val="both"/>
      </w:pPr>
      <w:r>
        <w:rPr>
          <w:rFonts w:ascii="Georgia" w:cs="Georgia" w:eastAsia="Georgia" w:hAnsi="Georgia"/>
          <w:b/>
          <w:bCs/>
          <w:sz w:val="22"/>
          <w:szCs w:val="22"/>
        </w:rPr>
        <w:t>v2.30.1 is the thirteenth iteration of the hardening cycle. The audit on v2.30 state identified two real findings: forward references to a not-yet-existing item number in OIR Section 21 (the recursive meta-trigger pattern from iterations 10-11 recurred in v2.29's Section 21 because the lesson hadn't fully absorbed when that section was written), and the Wage Floors as Tax Architecture document still referenced the $200B wealth tax architecture line that v2.30 refined to $225B.</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Findings mitigated. INVALID-REF in OIR Section 21 (SIG): rephrased forward references using neutral language ('the next added item', 'a not-yet-existing item'). WFA-OUT-OF-DATE (MIN): updated Wage Floors as Tax Architecture's combined revenue projection from $200B to $225B with reference to item 81 v2.30 substantiation. Plus refined OPEN-3 Section 2 status note to clearly state 'substantively addressed' (was implicit before).</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updated. 05_Open_Issues_Registry.docx version 1.18 to 1.19 with Section 23 added. 05_Wage_Floors_As_Tax_Architecture.docx version updated. 01_Platform_Package_Version.docx version 1.46 to 1.47.</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2.30 — May 6, 2026 (OPEN-3 Continued Development; FFIA Updated; Item 81 Enhanced)</w:t>
      </w:r>
    </w:p>
    <w:p>
      <w:pPr>
        <w:spacing w:after="200" w:line="320"/>
        <w:jc w:val="both"/>
      </w:pPr>
      <w:r>
        <w:rPr>
          <w:rFonts w:ascii="Georgia" w:cs="Georgia" w:eastAsia="Georgia" w:hAnsi="Georgia"/>
          <w:b/>
          <w:bCs/>
          <w:sz w:val="22"/>
          <w:szCs w:val="22"/>
        </w:rPr>
        <w:t>v2.30 continues the OPEN-3 development that began in v2.29 with item 81. Three actionable extensions implemented: applying item 81's recommendation to FFIA itself; computing actual behavioral elasticity sensitivity analysis at ETI 0.2/0.4/0.6/0.8; adding distributional impact analysis. Plus a transparent filer-count correction: item 81's original $634B gross estimate used overstated filer counts; corrected estimate using IRS Statistics of Income 2021 baseline is ~$260B gross.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Item 81 enhancements (~3,200 words now from ~2,000). Behavioral Elasticity Sensitivity Analysis section: revenue retains 85-96% of static across ETI 0.2-0.8 range; median ETI 0.4 produces ~$240B from corrected gross. Distributional Impact Analysis section: progressive across three segments (bottom 90M filers see $1,600/yr tax reduction; middle 40M filers see $3,200/yr increase; top 6.5M filers see graduated increases). FFIA Reconciliation section updated. Filer-count correction note added documenting the IRS-baseline-aligned counts.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FFIA update. Wealth tax architecture line replaced with explicit three-component breakdown: modified income tax architecture (~$130B at median behavioral elasticity), small wealth surcharge above $10M (~$35B), wealth tax above $50M (~$60B), totaling ~$225B combined. References item 81 as substantiation source. OPEN-3 closed at the FFIA accounting level; full resolution requires external microsimulation modeling.</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OPEN-3 status: 'partially substantiated' (v2.29) upgraded to 'substantively addressed; full resolution requires external microsimulation modeling.'</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updated. 05_Federal_Income_Tax_Revenue_Modified_Architecture.docx (item 81) version updated to v1.7 (sensitivity, distributional, FFIA reconciliation sections added; filer-count correction note added). 05_Federal_Fiscal_Impact_Analysis.docx version updated to v1.8 (income tax architecture line added). 05_Open_Issues_Registry.docx version 1.17 to 1.18 with Section 22 added; OPEN-3 entry in Section 2 has v2.30 status update note. 01_Platform_Package_Version.docx version 1.45 to 1.46.</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2.29 — May 6, 2026 (Items 80 and 81 Added)</w:t>
      </w:r>
    </w:p>
    <w:p>
      <w:pPr>
        <w:spacing w:after="200" w:line="320"/>
        <w:jc w:val="both"/>
      </w:pPr>
      <w:r>
        <w:rPr>
          <w:rFonts w:ascii="Georgia" w:cs="Georgia" w:eastAsia="Georgia" w:hAnsi="Georgia"/>
          <w:b/>
          <w:bCs/>
          <w:sz w:val="22"/>
          <w:szCs w:val="22"/>
        </w:rPr>
        <w:t>v2.29 adds two new analytical items to the package. Item 80 (Iterative Hardening Process Documentation) is meta-documentation of the hardening process developed across twelve iterations. Item 81 (Federal Income Tax Revenue Under the Platform's Modified Architecture) substantiates OPEN-3 by quantifying the three architecture components (wage floor exemption, high-earner graduated surcharge, existing brackets preserved) and reconciling with the FFIA's existing wealth tax architecture line.</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Item 80 contents (~2,200 words). Four-step cycle documentation (audit, mitigate, verify, repeat). Standing rules with 'order of operation' canonical phrasing. Audit angles used across iterations 3-12. Programmatic checks catalog. Six persona reading-path simulations. Four severity categories plus false positives. Meta-issues encountered (recursive meta-trigger, audit script limitations). Iteration-by-iteration summary.</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Item 81 contents (~2,000 words). Wage floor exemption revenue effect: ~-$15B/yr net. High-earner graduated income surcharge revenue: ~+$634B/yr gross. Combined: ~+$619B/yr mature steady-state gross. Reconciled with FFIA's $200B wealth tax architecture line: recommends explicit separation of income tax architecture (~$130B behavioral-adjusted) from wealth tax architecture (~$70B). Phase-in revenue projections (year 1: $200B; year 2: $440B; year 3+: $620B). Caveats for microsimulation requirements and behavioral elasticity assumptions. OPEN-3 downgraded from 'open and unaddressed' to 'partially substantiated.'</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added: 05_Iterative_Hardening_Process_Documentation.docx (item 80, v1.0); 05_Federal_Income_Tax_Revenue_Modified_Architecture.docx (item 81, v1.0). Files updated: 01_Platform_Package_TOC.docx version 1.41 to 1.42; 02_Constituent_Letter.docx with items 80 and 81 added to committee mappings; 05_Open_Issues_Registry.docx version 1.16 to 1.17 with Section 21 added; 01_Platform_Package_Version.docx version 1.44 to 1.45.</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2.28.3 — May 6, 2026 (WTMFY Worked Examples Refactor; Closes OPEN-1 Secondary Work)</w:t>
      </w:r>
    </w:p>
    <w:p>
      <w:pPr>
        <w:spacing w:after="200" w:line="320"/>
        <w:jc w:val="both"/>
      </w:pPr>
      <w:r>
        <w:rPr>
          <w:rFonts w:ascii="Georgia" w:cs="Georgia" w:eastAsia="Georgia" w:hAnsi="Georgia"/>
          <w:b/>
          <w:bCs/>
          <w:sz w:val="22"/>
          <w:szCs w:val="22"/>
        </w:rPr>
        <w:t>v2.28.3 closes the deferred OPEN-1 secondary work: refactoring WTMFY's worked examples to use the canonical OPEN-2 graduated income surcharge structure and to explicitly document the canonical OPEN-1 healthcare contribution architecture. The deferred work was first noted in OIR Section 10 (v2.26.3 OPEN-1 resolution) and most recently flagged in OIR Section 17 (v2.27.6 iteration 8) where WTMFY's '$3,900 per year' net impact for Single $500K was identified as inconsistent with the canonical $12,500 surcharge alone.</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What was refactored. WTMFY's High Earners and the Surcharge Architecture section had four worked example subsections (Single $500K, MFJ $500K with 2 Kids, Single $1M+, MFJ at higher incomes). All four were rewritten using canonical 5/10/15 graduated thresholds with explicit dollar calculations: Single $500K = $12,500 surcharge; MFJ $500K = $0 (at threshold); Single $1M = $62,500; Single $2M = $212,500; MFJ $2M = $125,000; Single $5M = $662,500; MFJ $5M = $575,000. Each scenario now states the canonical OPEN-1 4% employer + 2% employee = 6% total structure and shows the worker-visible 2% share separately. Net household impact is described qualitatively rather than committed to specific dollar figures, because the net depends on healthcare cost and payroll-state assumptions that vary by household; the Calculator (item 62) is referenced for personalization.</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updated. 05_What_This_Means_For_You.docx version 1.6 to 1.7 with four high-earner worked example refactors plus contribution-rates section enhancement. 05_Open_Issues_Registry.docx version 1.15 to 1.16 with Section 20 added. 01_Platform_Package_Version.docx version 1.43 to 1.44.</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2.28.2 — May 6, 2026 (Iteration 11 Hardening Pass)</w:t>
      </w:r>
    </w:p>
    <w:p>
      <w:pPr>
        <w:spacing w:after="200" w:line="320"/>
        <w:jc w:val="both"/>
      </w:pPr>
      <w:r>
        <w:rPr>
          <w:rFonts w:ascii="Georgia" w:cs="Georgia" w:eastAsia="Georgia" w:hAnsi="Georgia"/>
          <w:b/>
          <w:bCs/>
          <w:sz w:val="22"/>
          <w:szCs w:val="22"/>
        </w:rPr>
        <w:t>v2.28.2 is the eleventh iteration of the iterative hardening cycle. The audit on v2.28.1 state had new angles: numerical consistency between item 79 and other documents, verification of v2.28.1's mitigations, and reciprocal cross-reference completeness. Three findings: two real and one false positive that the audit script's structure cannot distinguish from real findings.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Findings mitigated. INVALID-REF in Package Version changelog narrative (SIG): v2.28.1's changelog described the prior iteration's INVALID-REF fix by quoting the offending text verbatim, which the cross-reference scanner could not distinguish from live references. Rewrote to use neutral language without literal item-number references. I78-NO-I79-REF (MIN): item 78 didn't reference item 79 which substantiates its deferred questions. Added v2.28 update note at the end of item 78 referencing item 79.</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updated. 05_Federal_Infrastructure_Fee.docx (item 78) version updated. 05_Open_Issues_Registry.docx version 1.14 to 1.15 with Section 19 added. 01_Platform_Package_Version.docx version 1.42 to 1.43.</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2.28.1 — May 6, 2026 (Iteration 10 Hardening Pass on v2.28)</w:t>
      </w:r>
    </w:p>
    <w:p>
      <w:pPr>
        <w:spacing w:after="200" w:line="320"/>
        <w:jc w:val="both"/>
      </w:pPr>
      <w:r>
        <w:rPr>
          <w:rFonts w:ascii="Georgia" w:cs="Georgia" w:eastAsia="Georgia" w:hAnsi="Georgia"/>
          <w:b/>
          <w:bCs/>
          <w:sz w:val="22"/>
          <w:szCs w:val="22"/>
        </w:rPr>
        <w:t>v2.28.1 is the audit-driven follow-up on v2.28's item 79 addition. Iteration 10 of the iterative hardening cycle (the first audit on v2.28 state) identified two findings introduced by the item 79 addition. INVALID-REF (SIG): OIR Section 18 documenting the v2.28 transition contained forward references to not-yet-existing item numbers (specifically references to potential future items as candidates for next substantive work), breaking the cross-reference invariant that referenced items must exist in the package. Mitigation: rephrased to neutral language ('the next added item', 'a subsequent added item'). MANIFEST-FORMAT (MIN): the item 79 manifest entry included the directory prefix '05_Analytical_Framing/' in the filename line, while other manifest entries use just the bare filename. Mitigation: removed the directory prefix to match the format convention.</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updated. 05_Open_Issues_Registry.docx version 1.13 to 1.14 (Section 18 forward references rephrased). 01_Platform_Package_Version.docx version 1.41 to 1.42 (item 79 manifest entry corrected, v2.28.1 changelog added).</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2.28 — May 6, 2026 (Item 79 Added — First Substantive Work After Hardening Cycle)</w:t>
      </w:r>
    </w:p>
    <w:p>
      <w:pPr>
        <w:spacing w:after="200" w:line="320"/>
        <w:jc w:val="both"/>
      </w:pPr>
      <w:r>
        <w:rPr>
          <w:rFonts w:ascii="Georgia" w:cs="Georgia" w:eastAsia="Georgia" w:hAnsi="Georgia"/>
          <w:b/>
          <w:bCs/>
          <w:sz w:val="22"/>
          <w:szCs w:val="22"/>
        </w:rPr>
        <w:t>v2.28 marks the transition from the iterative hardening cycle (which produced v2.26.1 through v2.27.6 across eight iterations) to substantive new analytical work. Iteration 9 of the hardening cycle on v2.27.6 produced zero findings, satisfying the standing rule's clean-cycle condition.</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Item 79 added: Federal Infrastructure Fee Transition Mechanics. Approximately 2,700 words across seven sections substantiating three transition questions deferred from item 78. Section 2 cellular site lease rate setting (cost-recovery methodology yielding approximately $18K per carrier per year steady-state). Section 3 fiber acquisition (voluntary negotiated buyout with declining transition premium 15%/10%/0% across years 1-5/6-8/9-10, eminent domain backstop after year 10). Section 4 pass-through prevention through three overlapping mechanisms (FCC line-item prohibition with civil penalties, comparative rate transparency, antitrust enforcement). Section 5 regulatory authority allocation. Section 6 three new open questions plus three identified risks.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added or updated. New: 05_Federal_Infrastructure_Fee_Transition_Mechanics.docx version 1.0 (item 79). Updated: 01_Platform_Package_TOC.docx version 1.40 to 1.41 with item 79 entry. 02_Constituent_Letter.docx updated to None with item 79 added to committee mappings. 05_Open_Issues_Registry.docx version 1.12 to 1.13 with Section 18 added. 01_Platform_Package_Version.docx version 1.40 to 1.41.</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2.27.6 — May 6, 2026 (Iteration 8 Hardening Pass)</w:t>
      </w:r>
    </w:p>
    <w:p>
      <w:pPr>
        <w:spacing w:after="200" w:line="320"/>
        <w:jc w:val="both"/>
      </w:pPr>
      <w:r>
        <w:rPr>
          <w:rFonts w:ascii="Georgia" w:cs="Georgia" w:eastAsia="Georgia" w:hAnsi="Georgia"/>
          <w:b/>
          <w:bCs/>
          <w:sz w:val="22"/>
          <w:szCs w:val="22"/>
        </w:rPr>
        <w:t>v2.27.6 is the eighth iteration of the four-step iterative hardening cycle. The audit took a new angle: tense consistency for completed work. One finding emerged from Wage Floors as Tax Architecture; one numerical observation was documented for transparency without rising to a formal finding for this iteration.</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Finding mitigated. FUTURE-TENSE-DONE (Wage Floors as Tax Architecture, item 26, SIG): document said 'specific surcharge thresholds, rates, and revenue projections require detailed analytical substantiation that future platform versions will provide. The current architecture adds graduated additional rates above $1 million in taxable income.' Both halves stale after v2.26.3 canonical resolution and v2.27 Calculator implementation. Sentence rewritten to current-tense citing canonical resolution with all three mechanisms enumerated.</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Numerical observation documented but not mitigated. WTMFY's 'Single Earner at $500K' worked example states approximately $3,900 net impact, which is substantially less than the $12,500 surcharge alone under canonical structure. The figure may or may not be defensible depending on healthcare premium savings assumptions; full recalculation belongs to the deferred WTMFY worked example refactor (documented in OIR Section 10 as secondary OPEN-1 work). This iteration preserves the deferral status.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updated. 05_Wage_Floors_As_Tax_Architecture.docx version updated to v1.3. 05_Open_Issues_Registry.docx version 1.11 to 1.12 with Section 17 added. 01_Platform_Package_TOC.docx version 1.39 to 1.40. 01_Platform_Package_Version.docx version 1.39 to 1.40.</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2.27.5 — May 6, 2026 (Iteration 7 Hardening Pass)</w:t>
      </w:r>
    </w:p>
    <w:p>
      <w:pPr>
        <w:spacing w:after="200" w:line="320"/>
        <w:jc w:val="both"/>
      </w:pPr>
      <w:r>
        <w:rPr>
          <w:rFonts w:ascii="Georgia" w:cs="Georgia" w:eastAsia="Georgia" w:hAnsi="Georgia"/>
          <w:b/>
          <w:bCs/>
          <w:sz w:val="22"/>
          <w:szCs w:val="22"/>
        </w:rPr>
        <w:t>v2.27.5 is the seventh iteration of the four-step iterative hardening cycle. The audit's new angle was numerical consistency in worked examples: v2.27.3 had updated the Tax document's high-earner surcharge description to the canonical graduated structure but had not recalculated the associated dollar amounts. The audit also formally flagged the carryover observation about reading paths missing items 76/77/78.</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Findings mitigated. WORKED-EX-DOLLAR (SIG): Tax doc worked example dollar amounts updated from old '$2,000 to $5,000 for $250K-$400K' to canonical graduated breakdown ($0 at $250K, $2,500 at $300K, $7,500 at $400K, $12,500 at $500K, $32,500 at $700K, $62,500 at $1M). READING-PATHS (MIN, carryover): supporter and elected-official paths now reference items 76/77/78 explicitly with brief descriptions of why each is relevant to that audience. Typo correction: OIR Section 15 had 'v2.27.6' should have been 'v2.27.4'; corrected.</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updated. 05_Does_This_Raise_Taxes.docx version 1.7 to 1.8 with worked example dollar breakdown. 01_Platform_Package_TOC.docx version 1.38 to 1.39 with explicit references to items 76/77/78 in supporter and elected-official reading paths. 05_Open_Issues_Registry.docx version 1.10 to 1.11 with Section 16 added and Section 15 typo corrected. 01_Platform_Package_Version.docx version 1.38 to 1.39.</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2.27.4 — May 6, 2026 (Iteration 6 Hardening Pass)</w:t>
      </w:r>
    </w:p>
    <w:p>
      <w:pPr>
        <w:spacing w:after="200" w:line="320"/>
        <w:jc w:val="both"/>
      </w:pPr>
      <w:r>
        <w:rPr>
          <w:rFonts w:ascii="Georgia" w:cs="Georgia" w:eastAsia="Georgia" w:hAnsi="Georgia"/>
          <w:b/>
          <w:bCs/>
          <w:sz w:val="22"/>
          <w:szCs w:val="22"/>
        </w:rPr>
        <w:t>v2.27.4 is the sixth iteration of the four-step iterative hardening cycle. The audit expanded its angles based on lessons from prior iterations: specifically, the rate selections (0.5 percent and 2.5 percent) made in v2.27 should appear in the substantive analytical documents that a policy professional would consult to verify the platform's claims, not just in the Calculator and OIR. Three real findings were identified and resolved; two false positives in the audit script were distinguished from real stale content.</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Findings mitigated. RATE-DOC-MISSING (FFIA): wealth tax architecture line rewritten to enumerate three components explicitly: graduated 5/10/15 income surcharge, 0.5 percent small wealth surcharge above $10M, 2.5 percent wealth tax above $50M. RATE-DOC-MISSING (Per Citizen Benefits): clarifying paragraph added after Wealth Tax Impact Is Highly Concentrated section header documenting the three canonical thresholds and rates with cross-reference to OIR Section 10. PCB-OLD-THRESHOLD: the same paragraph clarifies that the 'Top 0.1% ($5M+ assets)' label describes the income decile by approximate wealth, not the wealth tax threshold. The canonical wealth tax falls primarily on approximately 75,000 households nationwide with net worth above $50M.</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updated. 05_Federal_Fiscal_Impact_Analysis.docx version 1.6 to 1.7 with wealth tax architecture line rewrite. 05_Per_Citizen_Benefits_and_Costs.docx version 1.0 to 1.1 with rate clarification paragraph. 05_Open_Issues_Registry.docx version 1.9 to 1.10 with Section 15 added. 01_Platform_Package_TOC.docx version 1.37 to 1.38. 01_Platform_Package_Version.docx version 1.37 to 1.38.</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2.27.3 — May 6, 2026 (Iteration 5 Hardening Pass)</w:t>
      </w:r>
    </w:p>
    <w:p>
      <w:pPr>
        <w:spacing w:after="200" w:line="320"/>
        <w:jc w:val="both"/>
      </w:pPr>
      <w:r>
        <w:rPr>
          <w:rFonts w:ascii="Georgia" w:cs="Georgia" w:eastAsia="Georgia" w:hAnsi="Georgia"/>
          <w:b/>
          <w:bCs/>
          <w:sz w:val="22"/>
          <w:szCs w:val="22"/>
        </w:rPr>
        <w:t>v2.27.3 is the fifth iteration of the iterative hardening cycle. Three stale-content findings in the Calculator that prior iterations had not surfaced were identified through manual inspection of details elements and warning content. The findings demonstrate why iteration matters: automated audit checks alone miss content that requires reading the actual prose to evaluate.</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Findings mitigated. CALC-ASSUMPTIONS-STALE (SIG): the Calculator's assumptions details element contained the sentence 'wealth surcharge architecture adds layered brackets... that layering is not yet modeled in this calculator and applies only to incomes above 1 million dollars' which was factually wrong after v2.27. Replaced with accurate description of the canonical three-mechanism architecture. CALC-WARNING-STALE (SIG): the Calculator's high-income warning element claimed the calculator does not model the surcharge and that platform-side figures were a lower bound. After v2.27 implemented the surcharge, this was misleading. Warning content rewritten to describe the three active mechanisms. CALC-COVER-STALE (MIN): cover version stamp showed v1.4 but actual was v1.7. Updated to show full version history through v2.27.3.</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updated. 06_We_The_People_Calculator.html version 1.7 to 1.8 with assumptions, warning, and cover content corrections. 05_Open_Issues_Registry.docx version 1.8 to 1.9 with Section 14 added. 01_Platform_Package_TOC.docx version 1.36 to 1.37. 01_Platform_Package_Version.docx version 1.36 to 1.37.</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2.27.2 — May 6, 2026 (Iteration 4 Hardening Pass)</w:t>
      </w:r>
    </w:p>
    <w:p>
      <w:pPr>
        <w:spacing w:after="200" w:line="320"/>
        <w:jc w:val="both"/>
      </w:pPr>
      <w:r>
        <w:rPr>
          <w:rFonts w:ascii="Georgia" w:cs="Georgia" w:eastAsia="Georgia" w:hAnsi="Georgia"/>
          <w:b/>
          <w:bCs/>
          <w:sz w:val="22"/>
          <w:szCs w:val="22"/>
        </w:rPr>
        <w:t>v2.27.2 is the fourth iteration of the four-step iterative hardening cycle. The audit on v2.27.1 state identified two findings that the v2.27.1 mitigations had not addressed. The CALC-OLD-LABEL finding (upgraded from MIN to SIG during investigation) was that the Calculator's comparison table still labeled the surcharge row as 'Wealth surcharge (2% above $200K)' which was factually wrong after the v2.27 canonical refactor. The CALC-COMPONENT-DISPLAY finding was that the comparison table combined all three high-earner mechanisms into a single line.</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Mitigation. The single combined surcharge row in the Calculator's comparison table was replaced with up to three separate rows that appear conditionally based on active mechanisms: 'High-earner income surcharge (5%/10%/15% graduated)' when income exceeds threshold; 'Small wealth surcharge (0.5% above $10M net worth)' when net worth exceeds $10M; 'Wealth tax (2.5% above $50M net worth)' when net worth exceeds $50M. Users with no high-earner exposure see no rows for these mechanisms. The decomposition section was updated to include a high-earner architecture card showing which mechanisms are active.</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updated. 06_We_The_People_Calculator.html version 1.6 to 1.7 with comparison table label correction and breakdown display. 05_Open_Issues_Registry.docx version 1.7 to 1.8 with Section 13 added. 01_Platform_Package_TOC.docx version 1.35 to 1.36. 01_Platform_Package_Version.docx version 1.35 to 1.36. README.txt and VERSIONLOG.txt updated.</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2.27.1 — May 6, 2026 (Iteration 3 Hardening Pass)</w:t>
      </w:r>
    </w:p>
    <w:p>
      <w:pPr>
        <w:spacing w:after="200" w:line="320"/>
        <w:jc w:val="both"/>
      </w:pPr>
      <w:r>
        <w:rPr>
          <w:rFonts w:ascii="Georgia" w:cs="Georgia" w:eastAsia="Georgia" w:hAnsi="Georgia"/>
          <w:b/>
          <w:bCs/>
          <w:sz w:val="22"/>
          <w:szCs w:val="22"/>
        </w:rPr>
        <w:t>v2.27.1 is the third iteration of the four-step iterative hardening cycle. The audit on v2.27 state identified six findings, all targeted documentation propagation issues from the v2.27 Calculator refactor not being fully reflected in user-facing documentation. The findings were resolved through Calculator Methodology updates and TOC item 62 description updates. No analytical errors were found; the v2.27 Calculator math was verified against documented worked examples and the canonical decisions from v2.26.3 had propagated correctly to all narrative documents.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Findings mitigated in v2.27.1. Four CALC-METHODOLOGY findings were resolved by adding two new collapsible details elements to the Calculator's Methodology section. The first documents the canonical three-mechanism high-earner architecture with all thresholds, rates, and sources cited inline. The second documents the Federal Infrastructure Fee business-side calculation including all four components (location fee, employee fee with 25-employee exemption, revenue surcharge above 50 million dollars, public-purpose exemption). The TOC-ITEM-62 and TOC-ITEM-62-CANONICAL findings were resolved by updating the TOC item 62 description to reference the v2.27 capabilities.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updated in v2.27.1. 06_We_The_People_Calculator.html version 1.5 to 1.6 with two new collapsible Methodology sections. 01_Platform_Package_TOC.docx version 1.34 to 1.35 with item 62 description updated. 05_Open_Issues_Registry.docx version 1.6 to 1.7 with new Section 12 documenting the iteration 3 hardening pass. 01_Platform_Package_Version.docx version 1.34 to 1.35. README.txt and VERSIONLOG.txt updated.</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2.27 — May 6, 2026 (Calculator Refactor)</w:t>
      </w:r>
    </w:p>
    <w:p>
      <w:pPr>
        <w:spacing w:after="200" w:line="320"/>
        <w:jc w:val="both"/>
      </w:pPr>
      <w:r>
        <w:rPr>
          <w:rFonts w:ascii="Georgia" w:cs="Georgia" w:eastAsia="Georgia" w:hAnsi="Georgia"/>
          <w:b/>
          <w:bCs/>
          <w:sz w:val="22"/>
          <w:szCs w:val="22"/>
        </w:rPr>
        <w:t>v2.27 is a minor release that refactors the We The People Calculator (item 62) to implement the canonical OPEN-2 architecture decided in v2.26.3 and to add business-side modeling for the Federal Infrastructure Fee identified as PROC-2 in the v2.26.1 audit. v2.27 closes two long-standing deferred items and brings the Calculator into coherence with the canonical decisions documented in OIR Section 10.</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Calculator household-side updates. The simplified 2-percent-above-200-thousand-dollars wealth surcharge implementation is replaced with the canonical three-mechanism architecture: graduated income surcharge (5 percent above 250 thousand, 10 percent above 500 thousand, 15 percent above 1 million for single filers; doubled for MFJ), small wealth surcharge above 10 million dollars at 0.5 percent, and wealth tax above 50 million dollars at 2.5 percent. The Calculator now accepts an optional household net worth input to compute the wealth-based mechanisms; users who do not enter a net worth see only the income surcharge in their results. Rate selections for the wealth-based mechanisms are documented in source code with citations to the documents specifying the ranges.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Calculator business-side addition. A new collapsible section 'If you are a business owner: Federal Infrastructure Fee' implements the hybrid fee structure from item 78 Section 6. Inputs include number of locations, number of employees, annual revenue, and a public-purpose entity flag. The calculation applies 600 dollars per location, 175 dollars per employee with first 25 employees exempt, and 0.035 percent revenue surcharge above 50 million dollars. Public-purpose entities pay zero. The section displays a component breakdown plus total annual fee. Worked examples verified against item 78 documented examples (8 employees / 1 location / 1.5M revenue = $600; 75 employees / 2 locations / 20M revenue = $9,950; public hospital = $0).</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Files updated in v2.27. 06_We_The_People_Calculator.html version 1.4 to 1.5 with the household-side refactor and business-side addition. 05_Open_Issues_Registry.docx version 1.5 to 1.6 with new Section 11 documenting the Calculator refactor, OPEN-2 secondary work resolution, and PROC-2 resolution. 01_Platform_Package_TOC.docx version 1.33 to 1.34. 01_Platform_Package_Version.docx version 1.33 to 1.34. README.txt and VERSIONLOG.txt updated.</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2.26.3 — May 6, 2026 (Audit-Driven Hardening Pass — Iteration 2)</w:t>
      </w:r>
    </w:p>
    <w:p>
      <w:pPr>
        <w:spacing w:after="200" w:line="320"/>
        <w:jc w:val="both"/>
      </w:pPr>
      <w:r>
        <w:rPr>
          <w:rFonts w:ascii="Georgia" w:cs="Georgia" w:eastAsia="Georgia" w:hAnsi="Georgia"/>
          <w:b/>
          <w:bCs/>
          <w:sz w:val="22"/>
          <w:szCs w:val="22"/>
        </w:rPr>
        <w:t>v2.26.3 is the second pass through Jason's four-step iterative hardening process. Whereas v2.26.2 addressed documentation propagation lag from the v2.24-v2.26 release cycle, v2.26.3 addresses two long-standing analytical inconsistencies that have appeared in the Open Issues Registry since the v2.22 audit: OPEN-1 (healthcare contribution rate has four different values across documents) and OPEN-2 (wealth surcharge architecture has three different formulations). v2.26.3 makes canonical decisions on both, documents the reasoning thoroughly in OIR Section 10, and propagates the decisions to the most-misaligned narrative documents. Substantive Calculator and spreadsheet updates that follow are deferred to a future minor release.</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OPEN-1 canonical decision: 4% employer plus 2% employee equals 6 percent total payroll contribution to universal healthcare. Reasoning: 4% employer plus 2% employee is the public commitment in the Manifesto and is used in 12 or more documents; matches Germany's GKV approach which the platform models on; matches FFIA's 660 billion dollar revenue line at 6 percent on approximately 11 trillion dollars in covered W-2 wages plus self-employment income.</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OPEN-1 propagation in v2.26.3. Path To Reality tables 12 and 42 had phrasing '4% employer plus 4 percent employee initially with rates designed to ramp up'; this contradicted the canonical and was updated to '4% employer plus 2% employee'. Universal Healthcare Model spreadsheet README received a clarifying note that the 6 percent / 4 percent rates in the spreadsheet are a higher-rate scenario for stress testing while the canonical platform commitment is 4 percent / 2 percent.</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OPEN-2 canonical decision: the platform's high-earner architecture is three distinct mechanisms, not three formulations of one. Mechanism 1 is a graduated income surcharge (plus 5 percent above 250 thousand dollars, plus 10 percent above 500 thousand dollars, plus 15 percent above 1 million dollars; thresholds doubled for married filing jointly per Wage Floors As Tax Architecture). Mechanism 2 is a small wealth surcharge above the 10 million dollar net worth threshold. Mechanism 3 is a wealth tax at approximately 2 to 3 percent annually on households with net worth above 50 million dollars (funds Sovereign Investment Fund corpus accumulation). Together these three mechanisms generate approximately 200 billion dollars per year as documented in FFIA's wealth tax architecture line.</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OPEN-2 propagation in v2.26.3. Does This Raise Taxes paragraphs that previously described the high-earner surcharge as 2 percent on income above 200 thousand dollars now describe it as the canonical graduated 5/10/15 structure. A new clarifying paragraph was added to Does This Raise Taxes documenting that the platform's high-earner architecture is three distinct mechanisms. The Calculator continues to use the simplified 2 percent above 200 thousand dollars formulation; updating the Calculator to use the canonical structure is deferred to a future minor release as it requires substantive HTML and JavaScript work.</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What was not changed in v2.26.3 and why. Calculator update for canonical income surcharge structure is deferred because implementing the graduated 5/10/15 plus the 10 million dollar wealth surcharge plus the 50 million dollar wealth tax requires substantive analytical and implementation work. Universal Healthcare Model spreadsheet's 6 percent / 4 percent rates are preserved as documented higher-rate scenario rather than overwritten because the spreadsheet is an analytical model that legitimately explores rate variations. What This Means For You worked examples continue to show '4 percent healthcare contribution' as the household-side cost (internally consistent with the Calculator).</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Documents updated in v2.26.3. 05_Path_To_Reality.docx version 1.0 to 1.1. 05_Does_This_Raise_Taxes.docx version 1.6 to 1.7. 05_Open_Issues_Registry.docx version 1.4 to 1.5 with new Section 10 on canonical decisions. 04_Universal_Healthcare_Model.xlsx README sheet received a clarifying note. 01_Platform_Package_TOC.docx version 1.32 to 1.33. 01_Platform_Package_Version.docx version 1.32 to 1.33. README.txt and VERSIONLOG.txt updated.</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2.26.2 — May 6, 2026 (Audit-Driven Hardening Pass)</w:t>
      </w:r>
    </w:p>
    <w:p>
      <w:pPr>
        <w:spacing w:after="200" w:line="320"/>
        <w:jc w:val="both"/>
      </w:pPr>
      <w:r>
        <w:rPr>
          <w:rFonts w:ascii="Georgia" w:cs="Georgia" w:eastAsia="Georgia" w:hAnsi="Georgia"/>
          <w:b/>
          <w:bCs/>
          <w:sz w:val="22"/>
          <w:szCs w:val="22"/>
        </w:rPr>
        <w:t>v2.26.2 is the first complete pass through Steps 1-3 of Jason's four-step iterative hardening process initiated on May 6, 2026. The audit (Step 1) tested the platform against six personas and identified 42 findings. The mitigation pass (Step 2) addressed 14 findings: 3 critical, 7 significant, 2 minor, 1 procedural, 1 carryover from v2.22 audit. The dependency verification (Step 3) confirmed updates were consistent. v2.26.2 does not add new platform commitments — it brings the package's documentation into coherence with the v2.24-v2.26 release cycle's content.</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What was mitigated. CRIT-1 Provenance updated with v2.24-v2.26.1 build history (six new paragraphs covering Open Issues Registry creation, Emergency Services Communications Modernization addition, Federal Infrastructure Fee addition, Path A to Path B architectural shift, and v2.26.1 patch coordination). CRIT-2 Constituent Letter received three new committee mappings (telecommunications and broadband policy, public safety and emergency services, transparency and platform-process review) covering items 51, 76, 77, 78. CRIT-3 Slideshow updated on slides 8 (Civic Infrastructure description from concept-level to substantive content) and 16 (Going deeper list now references Emergency Services, Infrastructure Fee, Open Issues Registry).</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What was significantly updated. SIG-1 Item 51 Federal Contracting Architecture section received an inline v2.26.2 note acknowledging supersession by Path B. SIG-2 Civic Infrastructure Pillar received cross-references to items 51, 77, 78. SIG-3 / OPEN-4 Adjacent Pillars Under Development received a current-state paragraph documenting the platform's seven-pillar architecture per the Manifesto's v2.24 cover tagline change. SIG-4 What This Means For You received a new section 'How the Federal Infrastructure Fee Affects You' with worked examples. SIG-5 Manifesto received an infrastructure fee paragraph in the Civic Infrastructure section. SIG-6 Civic Infrastructure Architectural Framing received a v2.26 note on the USF table entry. SIG-7 Modernize Civic Engagement received a USF replacement note in the funding architecture description. SIG-8 FFIA received a gross/net distinction paragraph clarifying $4.2T gross commitments versus $4.17T net federal commitment.</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What was minor and procedural. MIN-1 Free_Universal_Broadband_Cost_Analysis received a header note clarifying it analyzes the superseded Path A architecture. MIN-3 Identity Theft Reduction received a cross-reference paragraph documenting how Path B reduces identity theft surface area. PROC-1 Package Version manifest received entries for the two orphan PDF files (Slideshow PDF export and Gemini Review PDF).</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What remains for future iterations. OPEN-1 Healthcare contribution rate decision (four candidate values across documents) requires Jason's decision on canonical value before propagation. OPEN-2 Wealth surcharge architecture (three different mechanisms documented) requires Jason's decision on whether they are intended to be distinct or to converge. OPEN-3 FFIA modified income tax architecture line requires analytical work. PROC-2 Calculator business-side modeling for infrastructure fee requires substantive work comparable to a minor release. MIN-2 Two_Paths_Compared header note (lower priority, optional). MIN-4 Manifest filename mismatch for Emergency Services (audit false positive — no actual mismatch). RESEARCH and SCOPE items continue per prior documentation.</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Documents updated in v2.26.2. Provenance v1.3 to v1.4. Constituent Letter v2.6 to v2.7. Manifesto v2.9 to v2.10. Universal Broadband Access Substantiation v1.1 to v1.2. Federal Fiscal Impact Analysis v1.5 to v1.6. Open Issues Registry v1.3 to v1.4. What This Means For You v1.5 to v1.6. Civic Infrastructure Pillar version bumped. Adjacent Pillars Under Development version bumped. Civic Infrastructure Architectural Framing version bumped. Modernize Civic Engagement version bumped. Free Universal Broadband Cost Analysis version bumped. Identity Theft Reduction version bumped. TOC v1.31 to v1.32. Package Version v1.31 to v1.32. Slideshow content updated. Manifest received two new entries for orphan PDFs.</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2.26.1 — May 6, 2026 (Patch Release)</w:t>
      </w:r>
    </w:p>
    <w:p>
      <w:pPr>
        <w:spacing w:after="200" w:line="320"/>
        <w:jc w:val="both"/>
      </w:pPr>
      <w:r>
        <w:rPr>
          <w:rFonts w:ascii="Georgia" w:cs="Georgia" w:eastAsia="Georgia" w:hAnsi="Georgia"/>
          <w:b/>
          <w:bCs/>
          <w:sz w:val="22"/>
          <w:szCs w:val="22"/>
        </w:rPr>
        <w:t>v2.26.1 is a coordinated patch release that updates items 51 (Universal Broadband Access Substantiation) and 61 (Federal Fiscal Impact Analysis) to reflect v2.26's Path A to Path B architectural shift. The patch does not add new platform commitments. It brings existing analytical documents into coherence with the v2.26 architecture documented in item 78 (Federal Infrastructure Fee). v2.26.1 follows the v2.18.1 and v2.19.1 pattern of patch releases that resolve documentation issues identified after a minor release ships.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Item 51 updated. A prominent v2.26 Architectural Shift Notice was added immediately after the Executive Summary, occupying its own H1 section. The notice documents which parts of the original Path A substantiation remain valid (service architecture, deployment strategy, workforce mathematics, cross-pillar effects, stress tests, honest acknowledgments) and which are superseded by Path B (federal contracting architecture, cost trajectory section). The Universal Service Fund Reform section now notes that Path B replaces USF rather than reforming it. The Cost Trajectory section now references item 78's cost architecture and the thirty-year savings of approximately $1.5-1.7T under Path B vs Path A. Item 51 cover version updated v1.0 to v1.1.</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Item 61 updated. The Civic Infrastructure pillar's broadband line was updated from 'Universal Broadband (Path A): $30 billion per year' to reflect Path B at $34 billion per year gross federal cost, offset by $34 billion per year infrastructure fee revenue, for net federal cost of approximately zero. The New Federal Revenue section was updated to include the Federal Infrastructure Fee as a sixth revenue source (replacing USF revenue and consolidating state telecom taxes). The Headline Numbers section now includes a v2.26.1 patch note explaining the broadband pillar's shift from perpetual subsidy to cost-recovering infrastructure. Item 61 cover version updated v1.4 to v1.5.</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Documents updated in v2.26.1. 05_Universal_Broadband_Access_Substantiation.docx v1.0 → v1.1: Architectural Shift Notice section added, USF Reform updated, Cost Trajectory updated. 05_Federal_Fiscal_Impact_Analysis.docx v1.4 → v1.5: broadband line updated to Path B with infrastructure fee offset, New Federal Revenue updated, Headline Numbers patch note added. 05_Open_Issues_Registry.docx v1.2 → v1.3: Section 8 added documenting v2.26.1 progress. 01_Platform_Package_TOC.docx v1.30 → v1.31: cover version stamp. 01_Platform_Package_Version.docx v1.30 → v1.31.</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What remains for future releases. The full rewrite of item 51 for Path B is identified as the highest-priority deferred item. The v2.26.1 patch is the minimum update for documentary coherence; a comprehensive rewrite would update the Federal Contracting Architecture section, the Cost Trajectory section, and several other sections that describe Path A mechanics. The conceptual content (service architecture, deployment strategy, workforce expansion, stress tests) remains valid and would not change in a Path B rewrite. The rewrite is a substantive analytical undertaking comparable to a minor release rather than a patch.</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What didn't change. No platform commitments were added or modified. No mathematical models were changed. v2.26.1 is purely documentary alignment with v2.26's architectural shift.</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2.26 — May 6, 2026</w:t>
      </w:r>
    </w:p>
    <w:p>
      <w:pPr>
        <w:spacing w:after="200" w:line="320"/>
        <w:jc w:val="both"/>
      </w:pPr>
      <w:r>
        <w:rPr>
          <w:rFonts w:ascii="Georgia" w:cs="Georgia" w:eastAsia="Georgia" w:hAnsi="Georgia"/>
          <w:b/>
          <w:bCs/>
          <w:sz w:val="22"/>
          <w:szCs w:val="22"/>
        </w:rPr>
        <w:t>What's new in v2.26. v2.26 adds a substantial new analytical document, item 78, Federal Infrastructure Fee. The document establishes the cost recovery mechanism for the federally-owned broadband and cellular infrastructure that items 51 (Universal Broadband Access Substantiation) and 77 (Emergency Services Communications Modernization) commit to. v2.26 represents a substantive architectural shift from Path A (federal subsidy of private ISPs at approximately $48 billion per year, with the fiber remaining privately owned) to Path B (federal ownership of fiber and cellular gap sites, with companies paying an infrastructure fee for using federally-owned infrastructure).</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Why this release exists. The platform's emergency services commitments in item 77 (v2.25) committed to federal ownership of cellular sites in coverage gaps and to consolidating state ESInet procurements into federal broadband transport. Both commitments require federal ownership of the underlying infrastructure. Item 51's Path A subsidy model was inconsistent with this — federal cellular sites were federally-owned, but the underlying broadband transport for which they connect was privately-owned. v2.26 resolves this incoherence by completing the federal ownership of broadband and cellular infrastructure and establishing the fee mechanism that funds it.</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The thirty-year cost projection. Path A federal cost over thirty years: approximately $2.0 trillion. Path A grand total (federal + company contributions): approximately $3.0 to $3.2 trillion. Path B federal gross cost: approximately $1.49 trillion, offset by approximately $1.36 trillion in infrastructure fee revenue from companies, for federal NET cost of approximately $130 billion. Path B grand total: approximately $1.49 trillion. Path B is approximately $1.5 to $1.7 trillion less expensive over thirty years than Path A. The savings come from federal ownership eliminating the perpetual subsidy mechanism, federal economies of scale reducing duplicated buildout costs, and capital amortization treating infrastructure as a long-lived asset rather than as perpetual operating expense.</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The fee architecture. Annual revenue requirement of approximately $34 billion per year, calibrated to capital recovery (~$13.7B), operations and maintenance (~$13.5B), and future capacity reserve (~$6.75B). Four allocation structures analyzed (per-employee, tiered, revenue-based, hybrid) with worked examples. Recommended structure is Hybrid: $600/year per business location, $175/employee/year exempting the first 25 employees, and 0.035% on revenue above $50 million per year. Inflation indexing via BLS-blended formula (50% wired telecom PPI + 30% telecom technician ECI + 20% telecom equipment PPI). Demand adaptation via capacity utilization triggers and volumetric component for very large users (&gt;100 TB/month).</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Replacement of USF and consolidation of state telecom taxes. The federal infrastructure fee replaces the Universal Service Fund and consolidates the patchwork of state telecom taxes into a single federal mechanism. The replacement is revenue-neutral overall (the new $34 billion fee replaces approximately $23-28 billion in current company telecom-fee burden, with the difference reflecting expanded infrastructure value). Consolidation produces approximately $1.85-5.0 billion per year in operational efficiency savings (eliminated USAC overhead, reduced state regulatory overhead, reduced company compliance burden). Major telecom carriers have advocated for federal preemption of state telecom taxes for years; the consolidation aligns with their stated preferences.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Industry exemptions for public-purpose entities. Public hospitals and qualified non-profit hospitals, public schools and accredited non-profit educational institutions, public libraries, public safety entities, tribal nation governments and tribally-operated entities, public housing authorities, public transit agencies, and federal/state/local government agencies are exempt. For-profit equivalents pay the fee. The exemption framework recognizes that charging fees to other federally-funded entities creates administrative drag without economic substance.</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Pass-through prevention. Four mechanisms constrain pass-through to consumers: transparency requirements (consumer-facing disclosure of attributable fee amounts), FTC oversight as a consumer protection issue, market structure remedies (preserving competition where it exists), and existing regulated-industry rate review processes. Honest acknowledgment that complete pass-through prevention is not achievable; estimated incidence is approximately 50-70% on shareholders, 15-30% on consumers, 5-15% on workers.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Fraud surface area and identity theft reduction. Path B eliminates the household-level subsidy verification mechanisms that have been the documented fraud vector in USF Lifeline and ACP programs. Free basic broadband is universal; no enrollment to defraud, no eligibility verification to game, no PII collection from low-income households for service delivery. Estimated direct fraud reduction of approximately $200-500 million per year in eliminated subsidy fraud. Identity theft reduction is harder to quantify but real, complementing the platform's broader Identity Theft Reduction commitments (item 22).</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The turnpike-toll regulatory model. Item 78 explicitly grounds the fee in the well-established regulatory tradition of use fees for public infrastructure: turnpike tolls, airport landing fees, marine port fees, water utility connection fees, spectrum auction proceeds. Each of these mechanisms recovers costs from infrastructure users through the same structural pattern. The fee is legally defensible because it demonstrates nexus, reasonable relation to costs, and non-discrimination against interstate commerce.</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Documents updated in v2.26. We_The_People_Platform.docx (Manifesto) v2.8 → v2.9: Fifteen Specific Situations now Sixteen. 01_Platform_Package_TOC.docx v1.29 → v1.30: item 78 added; reading paths updated; item-count language to seventy-eight. 02_Constituent_Letter.docx v2.5 → v2.6: count language to seventy-eight documents. 05_Open_Issues_Registry.docx v1.1 → v1.2: Section 7 added cross-referencing v2.26 progress; identifies revision needs for items 51 and 61. New: 05_Federal_Infrastructure_Fee.docx v1.0.</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What needs revision but is deferred. Item 51 (Universal Broadband Access Substantiation) currently describes Path A architecture that v2.26 has superseded. Item 51 needs substantial revision in a future patch release to reflect Path B federal ownership, the fee mechanism as funding source, updated cost numbers, and reliability and SLA commitments appropriate to public infrastructure. Item 61 (Federal Fiscal Impact Analysis) needs update to reflect the broadband line becoming net of infrastructure fee revenue. Both revisions are identified in the Open Issues Registry's Section 7 as the highest-priority items for a future patch or minor release.</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What didn't change. All other platform commitments from prior releases remain unchanged. Healthcare contribution rates, retirement architecture, Sovereign Fund projections, wage floor empirics, childcare and mental health pillars, education fund structure, and other civic infrastructure components are unmodified. Mathematical models in folder 04 unchanged. v2.26 is purely additive at the analytical layer plus the Path A to Path B architectural shift documented in item 78.</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2.25 — May 6, 2026 (Emergency Services Communications Expansion)</w:t>
      </w:r>
    </w:p>
    <w:p>
      <w:pPr>
        <w:spacing w:after="200" w:line="320"/>
        <w:jc w:val="both"/>
      </w:pPr>
      <w:r>
        <w:rPr>
          <w:rFonts w:ascii="Georgia" w:cs="Georgia" w:eastAsia="Georgia" w:hAnsi="Georgia"/>
          <w:b/>
          <w:bCs/>
          <w:sz w:val="22"/>
          <w:szCs w:val="22"/>
        </w:rPr>
        <w:t>What's new in v2.25. v2.25 adds Emergency Services Communications Modernization as item 77, a substantiation document for the Civic Infrastructure pillar's universal broadband component. The document addresses the structural problems that have stalled NG911 deployment for fifteen years and substantiates eight specific platform commitments to emergency services communications: public-safety-grade reliability at the transport layer; NG911 IP transport included in universal broadband; federal cellular sites in commercial coverage gaps; full NG911 transition funding via Sovereign Fund disbursements; adoption of the existing federal cybersecurity framework; federal ESInet standardization; tribal nation free service with sovereign choice; and PSAP autonomy preserved.</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Why this release exists. The platform's universal broadband commitment was previously substantiated only as household connectivity (broadband as a consumer service). The substantiation did not engage with what universal broadband means for emergency services communications, even though current NG911 deployment is stalled in significant part by the absence of federal IP transport infrastructure. The Civic Infrastructure Architectural Framing document had explicitly excluded public safety from federal scope. v2.25 closes this gap by reframing public safety as federal infrastructure with state and local operations — a different model from either pure federalism or federal takeover — and substantiating the implications across NG911 deployment, FirstNet realignment, tribal sovereignty, and federal cellular co-deployment.</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Key empirical grounding. The April 2026 NTIA cost study identified $5.8 to $9.27 billion in remaining nationwide NG911 transition cost, down 30 to 40 percent from the 2018 estimate due to the shift from equipment-heavy deployments to subscription-based models. Illinois completed its NG911 transition in March 2026; California has migrated only 23 of 440 PSAPs after more than five years and $400 million spent. Most US PSAPs are in a hybrid state running NG911-capable systems on legacy POTS infrastructure that is being retired. The March 2026 Lutnick/AT&amp;T renegotiation added $2 billion in value to FirstNet, providing concrete evidence that contract amendment is feasible. AI/AN households on tribal lands have a broadband access rate of 71 percent compared to 90 percent nationally; Navajo Reservation broadband subscription is 33 percent against state rates of 80 to 91 percent.</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FirstNet renegotiation framework (not replacement). The platform proposes renegotiation of the AT&amp;T contract running through 2042, building on the March 2026 precedent, to deliver: open interconnection between FirstNet and federal universal broadband; reduced sustainability payments tied to subscriber cost reduction; expanded coverage commitments along platform fiber routes; and 2042 transition planning. The platform does not propose to displace AT&amp;T or terminate the contract early. Renegotiation success depends on federal political will and AT&amp;T's negotiating position; the platform creates the leverage rather than predicting the outcome.</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Tribal nation provisions. Universal broadband basic tier is offered free on tribal lands. Federal infrastructure deployment on tribal lands is funded by the platform with no cost to the tribal government. Each tribal nation chooses whether to accept federal deployment, whether to operate the network themselves under federal funding, whether to integrate with existing tribal communications, and how their emergency services route through federal versus tribal-operated infrastructure. The federal commitment is to provide options, fund deployment, and consult with tribal authority — not to dictate. Existing federal-tribal frameworks (ISDEAA, EO 13175, BIA NPM-TRUS-48) apply.</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Cost analysis. Total federal commitment for emergency services communications above the universal broadband baseline is approximately $10 to $25 billion over 10 years, central estimate near $15 billion. Components: NG911 transition ($5.8 to $9.3 billion over 7 years); ongoing operating support ($1.5 to $3 billion over years 8-10); federal cellular co-deployment net of lease revenue ($2 to $11 billion over 10 years). Funded via Sovereign Fund disbursements as part of the universal broadband pillar of Civic Infrastructure. Less than 0.5 percent of total platform commitments. Cost estimates have substantial uncertainty; suitable for fiscal feasibility evaluation, not procurement planning. More rigorous federal cellular cost estimation is documented as an open question in item 77.</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What v2.25 does not change. All other platform commitments unchanged. Contribution rates, per-capita targets, transition gap and Sovereign Fund headline numbers, mathematical models all unchanged. Healthcare contribution rate inconsistency (OPEN-1) and wealth surcharge architecture inconsistency (OPEN-2) remain open from v2.22 audit. v2.25 is purely additive, expanding the substantiation of the universal broadband commitment without revising other platform conclusions.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Documents updated in v2.25. 01_Platform_Package_TOC.docx v1.28 → v1.29: item 77 added; reading paths updated; count language updated to seventy-seven. 02_Constituent_Letter.docx v2.4 → v2.5: count language updated. 05_Civic_Infrastructure_Architectural_Framing.docx v1.0 → v1.1: public safety framing updated to reflect federal infrastructure with state/local operations; item 77 referenced. 05_Universal_Broadband_Access_Substantiation.docx v1.0 → v1.1: cross-reference to item 77 added. 05_Open_Issues_Registry.docx v1.0 → v1.1: v2.25 expansion entry added to Section 1. New: 05_Emergency_Services_Communications.docx v1.0 (item 77, approximately 9,000 words).</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2.25 — May 6, 2026 (Emergency Services Communications Modernization)</w:t>
      </w:r>
    </w:p>
    <w:p>
      <w:pPr>
        <w:spacing w:after="200" w:line="320"/>
        <w:jc w:val="both"/>
      </w:pPr>
      <w:r>
        <w:rPr>
          <w:rFonts w:ascii="Georgia" w:cs="Georgia" w:eastAsia="Georgia" w:hAnsi="Georgia"/>
          <w:b/>
          <w:bCs/>
          <w:sz w:val="22"/>
          <w:szCs w:val="22"/>
        </w:rPr>
        <w:t>What's new in v2.25. v2.25 adds a substantive new analytical document at item 77: Emergency Services Communications Modernization. The document expands the platform's universal broadband commitment to cover emergency services communications infrastructure, making five specific commitments and reframing the platform's relationship to FirstNet.</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Why this release exists. The platform's original Civic Infrastructure Architectural Framing explicitly excluded public safety from federal civic infrastructure scope, on the grounds that emergency services governance is largely state and local. That scope decision was correct in isolation but missed an opportunity: the platform's universal broadband commitment creates the foundation for addressing several long-standing problems in emergency communications (incomplete NG911 deployment, POTS retirement crisis, FirstNet contract opacity, rural and tribal cellular coverage gaps, cybersecurity fragmentation) without displacing local operational authority over emergency services themselves. v2.25 documents this opportunity and the platform's commitments to address it.</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Five commitments made in item 77. (1) Universal broadband as IP transport substrate for NG911, eliminating the patchwork of fifty state-level ESInets. (2) Federal cellular sites in coverage gaps, co-deployed with fiber to capture 30 to 50 percent cost savings, leased to FirstNet (under existing AT&amp;T contract) and commercial carriers at regulated rates. (3) Full NG911 transition funding via Sovereign Fund disbursements (the $5.8 to $9.3 billion remaining cost identified by the April 2026 NTIA cost study, distributed over a seven-year period). (4) Federal ESInet standardization with adoption of existing CISA, NIST, and NENA cybersecurity frameworks (NIST Cybersecurity Framework, NENA NG-SEC, CJIS Security Policy, CIRCIA-compliant incident reporting). (5) Tribal nation free service with sovereign choice over implementation, operating within the Indian Self-Determination and Education Assistance Act framework.</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FirstNet realignment, not replacement. The platform does not propose to break the AT&amp;T contract through 2042, nationalize FirstNet's spectrum, or create a competing public safety wireless network. It proposes that the federal universal broadband infrastructure creates leverage for renegotiating the FirstNet contract to deliver: (a) open interconnection between FirstNet and federal universal broadband; (b) reduced sustainability payments to AT&amp;T (corresponding to PSAP cost savings); (c) expanded coverage commitments tied to federal cellular co-deployment; (d) explicit 2042 transition planning toward eventual federal or cooperative ownership. The March 2026 Lutnick/AT&amp;T renegotiation that added $2 billion in value is itself precedent that the contract can be amended.</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Tribal sovereignty preserved through three components: free basic-tier service, sovereign choice over implementation (whether to accept federal deployment, whether to operate the local network themselves with federal funding, whether to integrate with existing tribal communications, whether tribal emergency services route through federal or tribal-operated infrastructure), and explicit operational implementation through Indian Self-Determination Act section 638 contracting arrangements with each tribal nation's response documented and respected.</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Fiscal tractability. The platform's total commitment for emergency services communications is approximately $0.5 to $2 billion per year ongoing plus a seven-year transition surge of $1 to $1.5 billion per year. This fits within the platform's existing $4.2 trillion per year mature-state commitment without requiring new revenue mechanisms — Sovereign Fund disbursement capacity at maturity is approximately $2.7 trillion per year, of which less than 0.1 percent is needed for the emergency services commitments described in item 77.</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Open questions documented. Item 77 includes a substantial Open Questions section (Section 8) covering: (a) reliability SLA verification (whether the platform's broadband substantiation needs to add explicit five-nines commitments); (b) FirstNet reauthorization timing (Authority sunsets February 2027 unless Congress reauthorizes); (c) Land Mobile Radio out of scope (acknowledged as scope limitation, not oversight); (d) tribal-specific consultation requirements (need engagement with NCAI, individual tribal governments, BIA, IHS); (e) federal cellular cost estimation precision (current $1.5-10B range needs refinement through site survey data); (f) state authority preservation tensions; (g) cybersecurity standard currency (need ongoing CISA/NIST relationship).</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Documents updated in v2.25. Platform_Package_TOC.docx v1.28 → v1.29: item 77 added; count language updated to seventy-seven items; supporter reading path updated to items 63-77, fifteen specific topics. We_The_People_Platform.docx v2.7 → v2.8: 'Fourteen Specific Situations' → 'Fifteen Specific Situations'. Constituent_Letter.docx v2.4 → v2.5: count language updated to seventy-seven documents. Platform_Package_Version.docx v1.28 → v1.29. New: 05_Emergency_Services_Communications.docx (filename was Emergency_Services_Communications_Modernization at v2.25 creation; later shortened to current name) v1.0.</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What didn't change. All other platform commitments, contribution rates, per-capita targets, and other numerical figures remain unchanged. The platform's core seven-pillar architecture is unchanged; emergency services communications is treated as an expansion of the Universal Broadband component of the Civic Infrastructure pillar, not as a new pillar. Mathematical models in folder 04 unchanged. The Open Issues Registry (item 76) does not require update; emergency services communications was not a previously open issue, but the open questions in item 77 Section 8 are documented in item 77 itself rather than being moved to the registry.</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2.25 — May 6, 2026</w:t>
      </w:r>
    </w:p>
    <w:p>
      <w:pPr>
        <w:spacing w:after="200" w:line="320"/>
        <w:jc w:val="both"/>
      </w:pPr>
      <w:r>
        <w:rPr>
          <w:rFonts w:ascii="Georgia" w:cs="Georgia" w:eastAsia="Georgia" w:hAnsi="Georgia"/>
          <w:b/>
          <w:bCs/>
          <w:sz w:val="22"/>
          <w:szCs w:val="22"/>
        </w:rPr>
        <w:t>What's new in v2.25. v2.25 adds a substantial new analytical document, item 77, Emergency Services Communications Modernization. The document expands the platform's Civic Infrastructure pillar to address how universal broadband interacts with the federal emergency services framework. v2.25 follows the v2.21 (dental/vision) and v2.22 (gender pay gap) pattern of one substantial new analytical document per minor release.</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Why this release exists. The platform's Civic Infrastructure pillar (introduced in v2.3 with broadband, transportation, water and sewer, public spaces, civic technology, and energy grid) explicitly excluded public safety from federal scope. That exclusion was correct for operational authority — PSAP operations remain state and local. But it missed an architectural opportunity: universal broadband, deployed for civic and economic purposes, becomes the federal infrastructure foundation that solves several active problems in emergency services communications without displacing local accountability. v2.25 closes that gap.</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Five specific commitments expressed in item 77. (1) NG911 IP transport substrate absorbed into universal broadband, replacing fragmented state-by-state ESInet procurements with consistent federal infrastructure. (2) POTS retirement solution: federal broadband infrastructure absorbs what POTS used to carry for fire alarms, elevator phones, school panic buttons, and PSAP backup paths. (3) Federal cellular site co-deployment alongside fiber, addressing rural and tribal wireless coverage gaps for 911 at marginal cost. (4) Full NG911 transition funding via Sovereign Fund disbursements at $1 to $1.5 billion per year for seven years, closing the $5.8 to $9.27 billion gap that the NTIA's April 2026 cost study identified. (5) FirstNet contract renegotiation following the March 2026 Lutnick/AT&amp;T precedent, delivering open interconnection, expanded coverage, reduced sustainability payments, and 2042 transition planning.</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Tribal nation sovereignty as first-class concern. Item 77 treats tribal emergency services as a primary topic rather than a special case. Three components: (a) free service commitment (federal broadband on tribal lands, no tribal cost share, free basic tier service, structurally addresses the historical pattern of underserving tribal infrastructure investment); (b) sovereign choice over implementation (tribal authorities choose whether to accept federal deployment, operate their own broadband, integrate with existing tribal infrastructure, or opt out); (c) three operating models for tribal 911 (operate own PSAP, route to neighboring county PSAP under federal-supported service agreement, or hybrid). Each tribal nation is consulted as a sovereign entity, consistent with federal Trust Responsibility doctrine.</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Cybersecurity from existing standards. Item 77 commits to existing federal cybersecurity frameworks rather than inventing new ones: NIST Cybersecurity Framework as foundation, NENA's NG-SEC standard for NG911, CISA's NG911 Cybersecurity Primer for operational guidance, CJIS Security Policy for law enforcement data systems, CIRCIA for incident reporting. Federal ESInet standardization is identified as the platform's specific addition: the consolidation of fragmented state ESInet procurements into federal transport enables consistent cybersecurity that the current state cannot achieve.</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What item 77 does not address. Five topics are explicitly outside scope: Land Mobile Radio replacement (separate domain, dedicated public-safety spectrum); PSAP operations and staffing (state and local authority); state 911 fee reform (state policy domain); international/cross-border coordination (existing State Department/FCC frameworks); PSAP consolidation decisions (state and local choice). Each is acknowledged for transparency.</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Open questions identified during item 77 drafting are catalogued in item 77 Section 13 and cross-referenced in the Open Issues Registry's new Section 6: federal cellular co-deployment marginal cost estimation, reliability SLA specification (item 51 needs future revision), FirstNet reauthorization political timeline, tribal-specific consultation requirements, spectrum allocation for federal cellular sites, and cost recovery model for federal cellular site leases. The Open Issues Registry's RESEARCH section now reflects these additions.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Documents updated in v2.25. We_The_People_Platform.docx (Manifesto) v2.7 → v2.8: Fourteen Specific Situations now Fifteen. 01_Platform_Package_TOC.docx v1.28 → v1.29: item 77 added; reading paths updated. 02_Constituent_Letter.docx v2.4 → v2.5: count language updated to seventy-seven documents. 05_Open_Issues_Registry.docx v1.0 → v1.1: Section 6 added cross-referencing v2.25 progress and new emergency-services-specific open questions. New: 05_Emergency_Services_Communications.docx v1.0.</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What didn't change. All platform commitments from prior releases remain unchanged. Existing healthcare contribution rates, retirement architecture, Sovereign Fund projections, wage floor empirics, childcare and mental health pillars, education fund structure, and broader civic infrastructure commitments are unmodified. Mathematical models in folder 04 unchanged. v2.25 is purely additive at the analytical layer.</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2.24 — May 6, 2026 (Consolidation Pass)</w:t>
      </w:r>
    </w:p>
    <w:p>
      <w:pPr>
        <w:spacing w:after="200" w:line="320"/>
        <w:jc w:val="both"/>
      </w:pPr>
      <w:r>
        <w:rPr>
          <w:rFonts w:ascii="Georgia" w:cs="Georgia" w:eastAsia="Georgia" w:hAnsi="Georgia"/>
          <w:b/>
          <w:bCs/>
          <w:sz w:val="22"/>
          <w:szCs w:val="22"/>
        </w:rPr>
        <w:t>What's new in v2.24. v2.24 is a consolidation release. The release does not add new analytical content; it reads the package top-to-bottom looking for accumulated inconsistencies, fixes what can be fixed at the documentation level, and creates a new platform document (item 76, Open Issues Registry) that consolidates everything the platform is aware of but has not fully resolved.</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Why this release exists. After v2.23 the package contained 75 items developed across many minor and patch releases. As packages of this size grow, internal inconsistencies accumulate faster than per-release audits can catch them. The v2.22 audit identified that the healthcare contribution rate had four different values across the package; the v2.24 consolidation pass identified that the wealth surcharge architecture has three different versions, the healthcare per-capita timeline has a five-year discrepancy between two documents, the Manifesto's cover tagline still said 'Three Pillars' after v2.23 had restructured to seven pillars, and several other issues. Each of these was fixable individually but the package had not had a single dedicated pass focused on consolidation. v2.24 is that pass.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Mitigations applied in v2.24. CON-2: Manifesto cover tagline 'Three Pillars' updated to 'Seven Pillars' to reflect the v2.23 H1 restructure. CON-3: What Changes Milestones healthcare per-capita timeline aligned with the Healthcare Transition Detailed Plan's glide path (Year 5: $13,000; Year 10: $11,200; Year 15: $9,500). CON-9: TOC entry for Universal Healthcare Model updated to use the documented 4%/2% rate language and explicitly note the model spreadsheet currently uses different values (the full rate-source discrepancy is tracked in the new Open Issues Registry as OPEN-1).</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New analytical document: Open Issues Registry (item 76). The centerpiece of v2.24 is a new platform document that consolidates everything the platform is aware of but has not fully resolved. The registry is organized into five sections: (1) Issues Mitigated in v2.24 (the consolidation-pass fixes documented above); (2) Open Issues Awaiting Resolution (the four-different-values healthcare contribution rate problem; the three-version wealth surcharge architecture; the FFIA's zero net income tax revenue line; the Adjacent Pillars Under Development document's outdated framing); (3) Topics Aware Of, Needing More Research (Federal Reserve / monetary policy interaction; housing market interaction; wage floor disemployment quantification; healthcare cost reduction decomposition; Sovereign Fund 4-percent return scenario; intersectional pay gap analysis; climate-omission strategic reasoning); (4) Scope Omissions Acknowledged (long-term care, hearing aids, comprehensive climate policy, housing supply policy, immigration policy); (5) Process Limitations Acknowledged (lead author not credentialed economist; External Reviews folder contains only AI reviews; mathematical models not independently audited).</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Why item 76 matters. Prior releases addressed individual findings as audits identified them and deferred what could not be fixed in the release at hand. The deferred items accumulated across many releases without a centralized record. A skeptical reader who wanted to understand what the platform's authors knew about the platform's limitations had to read each document's individual Open Questions section, the Provenance document, the audit findings, and infer the rest. Item 76 consolidates these into a single registry and makes each entry honest about why the issue has not yet been resolved. The reading paths for the policy professional and the skeptic now reference item 76 explicitly.</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Why this release does not resolve the deferred analytical issues. The four-different-healthcare-rates problem (OPEN-1), the three-different-surcharge-architectures problem (OPEN-2), the FFIA income tax accounting (OPEN-3), and the Adjacent Pillars framing (OPEN-4) all require analytical decisions that exceed the consolidation-pass scope. Honest documentation of these issues is the right next step; resolving them is work for future minor releases.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Documents updated in v2.24. We_The_People_Platform.docx (Manifesto) v2.6 → v2.7: cover tagline 'Three Pillars' → 'Seven Pillars'; reading-path-language updates. 01_Platform_Package_TOC.docx v1.27 → v1.28: item 76 added; reading paths for skeptic and policy professional reference item 76; supporter path now references items 63–76; count language updated to seventy-six. 02_Constituent_Letter.docx v2.3 → v2.4: count language updated to seventy-six documents. 05_What_Changes_Milestones.docx v1.0 → v1.1: healthcare per-capita timeline aligned with Detailed Plan glide path. New: 05_Open_Issues_Registry.docx v1.0.</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What did not change. All platform commitments, contribution rates (in the documents where they were already stated), per-capita targets, and other numerical figures remain unchanged. Mathematical models in folder 04 unchanged. v2.24 is purely a consolidation pass; no analytical conclusions revised.</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2.23 — May 6, 2026 (Cleanup Release)</w:t>
      </w:r>
    </w:p>
    <w:p>
      <w:pPr>
        <w:spacing w:after="200" w:line="320"/>
        <w:jc w:val="both"/>
      </w:pPr>
      <w:r>
        <w:rPr>
          <w:rFonts w:ascii="Georgia" w:cs="Georgia" w:eastAsia="Georgia" w:hAnsi="Georgia"/>
          <w:b/>
          <w:bCs/>
          <w:sz w:val="22"/>
          <w:szCs w:val="22"/>
        </w:rPr>
        <w:t>What's new in v2.23. v2.23 is a cleanup release adopting eleven of nineteen findings from the v2.22 audit. The audit tested v2.22 by simulating six citizen-reviewers walking the six audience reading paths defined in the TOC, performing independent parameter affirmation, and identifying analytical gaps. v2.23 adopts the documentation and content findings that can be addressed without substantive analytical work, deferring eight findings that require analytical decisions to future minor releases.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Critical findings addressed. CRIT-2: Calculator now implements the $200,000 wealth surcharge described in the Universal Healthcare Model and Tax Analysis. The calculator previously had only one income threshold ($1,000,000) and was therefore not fit for purpose for the skeptic-path audience whose households are typically in the $200K-$1M range. The surcharge is now displayed as a separate line in the platform-side breakdown when applicable. CRIT-3: TOC fifteen-minute reading path text duplicate removed. CRIT-4: Manifesto now has H1 sections for all seven pillars (CCP, Empirical Wage Floors, Sovereign Education Fund, Universal Healthcare Access, Universal Childcare, Universal Mental Health Access, Civic Infrastructure) and the structural outline now matches the platform's stated architecture. CRIT-5: TOC paragraph p14 updated from 'seventy-four items' to 'seventy-five items' for v2.22 carry-forward.</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Critical finding deferred. CRIT-1 (healthcare contribution rate has four different values across the package: 4%/2%=6% in documents, 6%/4%=10% in spreadsheet model, 5.08% effective from FFIA, 4% flat in Calculator) is deferred to a future minor release because resolution requires deciding which rate is canonical and propagating the decision across the package, which exceeds cleanup-release scope.</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Significant findings addressed. SIG-1: Provenance document refreshed for v2.10–v2.22 work, with new H1 section enumerating each release's analytical additions and an honest acknowledgment that the document drifted out of currency. Document and model counts corrected from 'thirty-seven Word documents' to 'fifty-two Word documents.' SIG-3: Manifesto now has a Sources and Data Foundations H1 section documenting underlying data sources by category (BLS OEWS, CMS NHEA, KFF, OECD, SSA Trustees Reports, etc.) with foundational document pointers. SIG-4: Slideshow page count references in TOC reading paths updated to '15 slides plus a cover page.' SIG-5: Slideshow's final slide now lists 'We The People Calculator' under the Navigation column, completing the fifteen-minute reading path's signposting. SIG-6: Constituent Letter has a new committee→item mapping paragraph telling elected officials and staff which platform items map to which committee assignments. SIG-7: Calculator's OCCUPATION_FLOORS constant has documentation comments explaining how the four representative wage tiers correspond to BLS major occupational group clusters. SIG-8: Calculator input field labels for healthcare premium and out-of-pocket healthcare now explicitly mention 'medical + dental + vision' to align labels with v2.21's scope addition.</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Significant finding deferred. SIG-2 (FFIA shows zero net new revenue from 'modified income tax architecture' despite documents claiming the architecture generates revenue) is deferred to a future minor release because resolution requires either reconciling the income tax revenue accounting or adding a substantive 'why income tax appears as zero net' subsection to the FFIA, which exceeds cleanup-release scope.</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Minor or notable findings deferred to future minor releases. MIN-2: intersectional pay gap analysis (extending item 75). MIN-3: climate-omission strategic reasoning (extending item 74). MIN-5: wage floor disemployment quantification (extending the Wage Floor Empirical Analysis). MIN-6: healthcare cost reduction decomposition (extending the Healthcare Transition Detailed Plan). MIN-7: Sovereign Fund 4%-return scenario expansion. The remaining acknowledged limitations (MIN-1 calculator input friction, MIN-4 external human-expert review documentation) are ongoing constraints that no near-term release can fully resolve.</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Documents updated in v2.23. We_The_People_Platform.docx (Manifesto) v2.5 → v2.6: added four pillar H1 sections (Universal Healthcare, Universal Childcare, Universal Mental Health, Civic Infrastructure) and Sources and Data Foundations section. 01_Platform_Package_TOC.docx v1.26 → v1.27: fixed duplicated text in p17, updated 'seventy-four' to 'seventy-five' in p14, normalized slideshow page references. 02_Constituent_Letter.docx v2.2 → v2.3: added committee→item mapping paragraph. 05_How_This_Was_Built.docx (Provenance) v1.2 → v1.3: refreshed for v2.10–v2.22 work. 06_We_The_People_Calculator.html v1.3 → v1.4: implemented $200K wealth surcharge, updated healthcare input labels, added OCCUPATION_FLOORS documentation. the original Platform Overview deck file (pptx) and .pdf v1.4 → v1.5: added Calculator pointer to final slide's Navigation column.</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What didn't change. All platform commitments, contribution rates, and numerical figures remain unchanged. Mathematical models in folder 04 unchanged. v2.23 is purely documentation-and-content cleanup; no analytical conclusions revised.</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2.22 — May 6, 2026 (Minor Release)</w:t>
      </w:r>
    </w:p>
    <w:p>
      <w:pPr>
        <w:spacing w:after="200" w:line="320"/>
        <w:jc w:val="both"/>
      </w:pPr>
      <w:r>
        <w:rPr>
          <w:rFonts w:ascii="Georgia" w:cs="Georgia" w:eastAsia="Georgia" w:hAnsi="Georgia"/>
          <w:b/>
          <w:bCs/>
          <w:sz w:val="22"/>
          <w:szCs w:val="22"/>
        </w:rPr>
        <w:t>What's new in v2.22. v2.22 adds a new analytical framing document at item 75: Gender Pay Gap and Indirect Mechanisms. The document examines how the platform's architecture affects earnings disparities between men and women, identifies three indirect mechanisms that reduce the gap, estimates their combined effect (30 to 40 percent reduction of the raw 16 percent gap), and is honest about what the platform does NOT do that pay-gap-focused proposals typically include. The document is in the same style as the v2.14 through v2.21 phased-expansion documents.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Three indirect mechanisms identified. (1) Universal childcare addresses the motherhood penalty, which currently accounts for an estimated 30 to 40 percent of the raw gender pay gap; the platform's Quebec-model universal childcare would be expected to close approximately 9 to 20 percent of the raw gap. (2) Empirical wage floors raise pay in female-dominated occupations (childcare workers, home health aides, personal care aides, preschool teachers, nursing assistants, and others where women are 85 to 97 percent of workers); this would close approximately 10 to 17 percent of the raw gap. (3) Universal healthcare reduces job-lock that disproportionately affects women; this would close approximately 1 to 3 percent of the raw gap. Combined estimated effect: 30 to 40 percent reduction of the 16 percent gap, narrowing it to approximately 10 to 11 cents on the dollar.</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What the platform does NOT do. The document is honest about pay-gap-focused instruments the platform omits: no equal-pay-for-equal-work enforcement, no pay transparency requirements, no salary history ban, no paid family leave provision, no anti-discrimination provisions, no comparable-worth or pay-equity reclassification, no occupational anti-segregation interventions. The unexplained portion of the pay gap (5 to 10 percent) is largely unaddressed by the platform's current architecture.</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Five design directions for future platform versions outlined. Direction A: federal paid family leave commitment (~$40 to $60 billion per year, 0.4% payroll contribution). Direction B: federal pay transparency requirement. Direction C: strengthened Equal Pay Act enforcement (mandatory employer pay-gap reporting, expanded scope, increased penalties). Direction D: comparable-worth wage floor adjustments. Direction E: Sovereign Education Fund recruitment incentives for women in male-dominated higher-paying occupations. Each direction is presented as an addition that does not require fundamental redesign of current architecture.</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Documents updated in v2.22. Created new document 05_Gender_Pay_Gap_And_Indirect_Mechanisms.docx (v1.0). Manifesto's 'Twelve Specific Situations' subsection updated to 'Thirteen Specific Situations' with new entry for item 75. TOC has new table for item 75 (modeled on item 74 Climate Policy table). TOC supporter reading path updated to mention item 75 for gender pay equity audiences and to note 'thirteen specific topics in items 63 through 75'. Constituent Letter updated: 'seventy-four documents' → 'seventy-five documents'; enclosure references v2.22. Package Version doc has new manifest entry for item 75.</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What didn't change. All platform commitments unchanged. Mathematical models unchanged. Numerical figures unchanged. v2.22 is purely additive: the new document at item 75 documents existing platform mechanisms rather than proposing new ones. The document is explicit that the indirect-mechanism analysis should not be used as a substitute for engaging with explicit pay-equity instruments — the failure modes section names this as the 'Indirect-Mechanisms-Are-Sufficient Failure Mode' to caution against this misuse.</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Findings deferred to v3.x. Unchanged from prior dispositions, plus three new candidate items for v3.x consideration arising from this document's analysis: federal paid family leave commitment (Direction A), federal pay transparency requirement (Direction B), and strengthened Equal Pay Act enforcement (Direction C). Whether the platform should elevate pay-gap reduction to a stated commitment with targeted instruments is a strategic question that warrants explicit attention in a future version.</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2.21 — May 6, 2026 (Minor Release)</w:t>
      </w:r>
    </w:p>
    <w:p>
      <w:pPr>
        <w:spacing w:after="200" w:line="320"/>
        <w:jc w:val="both"/>
      </w:pPr>
      <w:r>
        <w:rPr>
          <w:rFonts w:ascii="Georgia" w:cs="Georgia" w:eastAsia="Georgia" w:hAnsi="Georgia"/>
          <w:b/>
          <w:bCs/>
          <w:sz w:val="22"/>
          <w:szCs w:val="22"/>
        </w:rPr>
        <w:t>What's new in v2.21. v2.21 is a minor release that explicitly enumerates dental and vision coverage in the platform's universal healthcare commitment. Previous platform documents stated the commitment models on Germany and Japan but did not enumerate covered services beyond medical, prescription, and mental health. This left a real ambiguity in the package: a careful reader could not determine whether dental and vision were in scope. v2.21 resolves that ambiguity by explicitly enumerating the coverage scope per the German GKV standard, with cost implications addressed honestly.</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Coverage scope enumerated. The platform's universal healthcare commitment now explicitly includes: medical care (acute, chronic, preventive, surgical, emergency, rehabilitation), prescription drugs (with copays), mental health treatment (under the separate Universal Mental Health Access pillar), basic dental (preventive — cleanings, exams, x-rays — and restorative — fillings, root canals, extractions, periodontal treatment) at 100 percent, orthodontic care for children and adolescents only, basic vision (eye examinations and treatment of eye diseases including cataracts, glaucoma, macular degeneration, diabetic retinopathy) at 100 percent, and prescription correction (eyeglasses, contact lenses) for children and adolescents only. Adults purchase orthodontic care, cosmetic dentistry, and prescription correction privately or through optional supplemental insurance. Long-term care and hearing aids remain outside the scope and are flagged as honest acknowledged gaps.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Cost handling. The per-capita target of $9,500 per person was set as 'above Germany ($8,000 per capita) and below Switzerland ($12,000 per capita)' in the original Universal Healthcare Model assumptions. Germany's $8,000 per-capita spending already includes the dental and basic vision services described above. The platform's target is therefore within the existing cost envelope for these services rather than an addition to it. The 4% employer / 2% employee combined contribution rate remains unchanged. The Honest Acknowledgments section of the Federal Fiscal Impact Analysis notes that if actual implementation shows US dental and vision costs cannot be accommodated within the $9,500 per-capita target — for instance if US dental utilization or pricing differs materially from the German baseline — the contribution rate would need to be adjusted upward (the platform's structural design accommodates this) or the per-capita target raised.</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Documents updated in v2.21. The Universal Healthcare Model assumptions sheet has a new Covered Services Scope section enumerating the coverage. The Healthcare Transition Detailed Plan has a new Covered Services Scope H1 section with detailed prose. The Manifesto's Universal Healthcare paragraph has been extended to enumerate the scope. The Adjacent Pillars Under Development document has a scope clarification paragraph in its Universal Healthcare section. The Federal Fiscal Impact Analysis Honest Acknowledgments section notes the dental and vision inclusion. The Aging-in-Place Implications document's Medicare Advantage interaction question has been clarified to reflect that the supplemental-benefit gap is narrower than under v2.20 framing. The Federal Program Integration Plan notes the Medicaid interaction with dental and vision. The We The People Calculator has a healthcare scope clarification note. The slideshow Slide 8 Universal Healthcare bullet has been updated.</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What didn't change. All platform commitments other than the dental and vision enumeration remain unchanged. The 4% employer / 2% employee universal healthcare contribution rate remains unchanged. The $9,500 per-capita target remains unchanged. The mathematical models in folder 04 have updated Assumptions sheets but the Transition Analysis, Household Impact, and Dashboard sheets produce the same numerical results as v2.20. All v2.13 through v2.20 work carries forward unchanged.</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Pre-existing inconsistency flagged for separate future fix. During v2.21 work an internal inconsistency was identified in the Universal Healthcare Model that predates v2.21: the spreadsheet model uses a 6 percent employer / 4 percent employee combined 10 percent contribution rate (rows 47-48 of the Assumptions sheet after v2.21 row shifts) while all platform documents (Manifesto, Adjacent Pillars, Does This Raise Taxes, Adjacent Pillars Under Development, the $125,000 MFJ worked example) consistently use 4% employer / 2% employee combined 6 percent. This discrepancy was not introduced by v2.21 and is not within v2.21's scope to fix. It will be addressed in a separate future release with explicit attention to which figure is correct and what the downstream effects are.</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Findings deferred. Unchanged from prior dispositions: MIN-4 (Combined Reform Model climate stress scenario), Open Questions resolution, calculator redesign for non-nuclear-family scenarios, SIG-7 comparison to other progressive proposals, scope additions for long-term care and comprehensive climate policy. The healthcare contribution rate discrepancy described above is added to the deferred-fix list.</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2.20 — May 6, 2026 (Minor Release)</w:t>
      </w:r>
    </w:p>
    <w:p>
      <w:pPr>
        <w:spacing w:after="200" w:line="320"/>
        <w:jc w:val="both"/>
      </w:pPr>
      <w:r>
        <w:rPr>
          <w:rFonts w:ascii="Georgia" w:cs="Georgia" w:eastAsia="Georgia" w:hAnsi="Georgia"/>
          <w:b/>
          <w:bCs/>
          <w:sz w:val="22"/>
          <w:szCs w:val="22"/>
        </w:rPr>
        <w:t>What's new in v2.20. v2.20 is a minor release addressing seven findings from the v2.19 audience verification audit (SIG-C / MIN-D, SIG-D, SIG-E, SIG-F, SIG-G, MIN-F, MIN-G/H). The release primarily refines the analytical and editorial work in v2.19, including a strategic re-tightening of the Constituent Letter, a reframing of the Conservative subsection in the political positioning section, and consistency improvements in the Federal Fiscal Impact Analysis.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SIG-C / MIN-D ($125K MFJ worked example) addressed. The worked example's wage floor exemption updated from $80,000 to $110,000 to align with the calculator's OCCUPATION_FLOORS convention (two mid-career professionals at $55,000 each = $110,000 combined). Federal income tax recalculated to $1,500, total platform burden to $20,938, household savings to $38,095 (30% of household income, 65% reduction from current burden). New derivation note paragraph explains the wage floor exemption calculation and how households with different occupation mixes can use the calculator to model their specific situation. MIN-C addressed: intro paragraph now clarifies the example represents mature steady-state outcomes (Year 30+) rather than transition-year outcomes.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SIG-D (FFIA accounting framing) addressed. New accounting note paragraph added to the behavioral economics sensitivity section. The note acknowledges that whether undisbursed benefits flow to deficit reduction depends on each program's funding architecture (fixed contribution rates vs dynamic adjustment to actual uptake) and that the existing fiscal numbers assume the fixed-rate architecture. Actuarial review of each program's funding statute would be required to confirm the accounting treatment for that program. The behavioral economics risk to platform mission delivery is real regardless of the accounting treatment of the fiscal picture.</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SIG-E (FFIA state cooperation population estimate consistency) addressed. The healthcare and childcare per-program cost estimates rewritten to use 'per refusing state of average size' as the consistent unit ($7-11B/year per state for healthcare, $4-6B/year per state for childcare). The combined sensitivity scenario now derives its figures explicitly from the per-state estimates: 15% of states refusing = 7-8 states = $80-130B/year combined cost, deficit reduction shrinks to $770-820B; 25% = 12-13 states = $130-220B/year, deficit reduction shrinks to $680-770B. Population estimates and state-count assumptions are now consistent.</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SIG-F (Constituent Letter strategic re-tightening) addressed. The Letter (v2.0 → v2.1) rewritten as a tight cover letter targeting Senate office screening. Length reduced from 7,442 chars to 2,972 chars (about 2:23 reading time). The body now contains five focused paragraphs: who I am, what the platform is (one-sentence-per-pillar), headline numbers, the three-part request, and closing. The detailed platform discussion has been removed in favor of trusting the enclosed package summary to do the substantive work. The institutional-routing paragraph that previously told the Senator's office which analytical bodies they might direct the proposal to has been compressed to a single phrase. The 'one hundred Open Questions' phrasing has been removed.</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SIG-G (Conservative subsection rewrite) addressed. The Manifesto's political positioning section's Conservative subsection (v2.18.1 era) had a header — 'Features Conservative Traditions Have Historically Valued' — that overclaimed conservative affirmation. The header is now 'How the Platform Engages Conservative Concerns About Social Policy', which honestly acknowledges that the platform engages conservative concerns through specific design choices rather than aligning with conservative tradition broadly. The body has been rewritten to lead with the strongest conservative-resonant features (vested rights protection, individual account ownership and heritability, Sovereign Fund governance firewalls, working-class tax cuts, parental choice in childcare, fiscal stress testing) and to reframe weaker items more carefully. The closing sentence explicitly acknowledges that these design choices do not make the platform a conservative project — its scale and universal architecture mean conservative critics will object on legitimate grounds — but they reflect serious engagement with conservative concerns. Progressive and Moderate subsections were not modified.</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MIN-F (FFIA Honest Acknowledgments cross-references) addressed. Two cross-references added to the FFIA Honest Acknowledgments H2 subsections: (1) the Sovereign Fund Performance subsection now points readers to the Sensitivity to Sovereign Fund Returns H1 section above for quantitative analysis at 4% real and 2% real return assumptions; (2) the State-Level Fiscal Impacts subsection now notes that the Sensitivity to State Cooperation Refusal H1 section above quantifies the related but distinct topic of how state cooperation refusal affects federal fiscal outcomes.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MIN-G / MIN-H (75 million phrasing consistency) addressed. The Manifesto's Twelve Specific Situations subsection and the FPIP cross-references both updated to use consistent phrasing aligned with the source document (item 68): 'approximately 75 million Americans receiving retirement income from at least one defined benefit source (Social Security retirees, Social Security Disability recipients, state and local government pensioners, federal civilian retirees, and others)'. Previous phrasing led with 'currently receiving Social Security' which was approximately correct but did not match the source's framing of 'retirement income from at least one defined benefit source'.</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What didn't change. All platform commitments remain unchanged. Mathematical models were not modified. The numerical figures in all comparison tables remain identical to v2.19.1 except where corrections were applied (FFIA state cooperation figures, $125K MFJ worked example figures). All v2.13 through v2.19.1 work carries forward unchanged.</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Documents updated in v2.20. 02_We_The_People_Platform.docx (v2.2 → v2.3, Conservative subsection rewrite + 75M phrasing). 02_Constituent_Letter.docx (v2.0 → v2.1, strategic re-tightening). 05_Federal_Fiscal_Impact_Analysis.docx (v1.2 → v1.3, accounting note + state cooperation consistency + cross-references). 05_Federal_Program_Integration_Plan.docx (v1.1 → v1.2, 75M phrasing). 05_Does_This_Raise_Taxes.docx (v1.5 → v1.6, $125K worked example revisions). 01_Platform_Package_Version.docx (v1.23 → v1.24, this changelog entry).</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Findings deferred to v3.x. Unchanged from prior dispositions: MIN-4 (Combined Reform Model climate stress scenario), Open Questions resolution (~100 questions across 12 phased-expansion documents), calculator redesign for non-nuclear-family scenarios, SIG-7 (comparison to other progressive proposals), and substantive scope additions (long-term care commitment, comprehensive climate policy, housing affordability). The MIN-A (cosmetic scope notice tightening) and MIN-B (calculator default childcare cost note) findings are deferred to a future calculator redesign.</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2.19.1 — May 6, 2026 (Patch Release)</w:t>
      </w:r>
    </w:p>
    <w:p>
      <w:pPr>
        <w:spacing w:after="200" w:line="320"/>
        <w:jc w:val="both"/>
      </w:pPr>
      <w:r>
        <w:rPr>
          <w:rFonts w:ascii="Georgia" w:cs="Georgia" w:eastAsia="Georgia" w:hAnsi="Georgia"/>
          <w:b/>
          <w:bCs/>
          <w:sz w:val="22"/>
          <w:szCs w:val="22"/>
        </w:rPr>
        <w:t>What's new in v2.19.1. v2.19.1 is a patch release addressing three findings from the v2.19 audience verification audit: SIG-A (parallel-section heading inconsistencies in two phased-expansion documents), SIG-B (calculator visible byline did not reflect v2.19 update), and MIN-E (70% uptake scenario in FFIA lacked dollar figures for consistency with 90% and 80% scenarios). All three are mechanical fixes that do not require new analytical work.</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SIG-A addressed. The v2.18.1 styling fix successfully addressed body-paragraph-as-heading and heading-as-body bugs but did not address Heading1-when-should-be-Heading2 inconsistencies in parallel sections. Two phased-expansion documents had this defect: (1) Behavioral Economics and Uptake Friction had Exposure Points One, Four, and Five styled as Heading1 while Exposure Points Two and Three were Heading2; all five are now Heading2 (subsections under 'Where The Platform Remains Exposed' which is Heading1). (2) Climate Policy Beyond Grid Modernization had Direction C styled as Heading1 while Directions A, B, D, and E were Heading2; Direction C is now Heading2, and the parent section 'Design Directions for Future Platform Climate Integration' has been promoted from Heading2 to Heading1 to establish proper hierarchy. Both documents now render with consistent parallel-section heading levels.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SIG-B addressed. The We The People Calculator's visible byline (the line shown to users immediately below the title) previously read 'Updated May 5, 2026 for v2.13 (UX fixes)' even though the version number had been bumped to v1.2 in the v2.19 work. The byline now reads 'Updated May 6, 2026 for v2.19 (scope warning added)'. Users now see accurate version information.</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MIN-E addressed. The Federal Fiscal Impact Analysis behavioral economics sensitivity section provided dollar figures for 90% uptake (\$200B savings reduction, \$1.1T deficit reduction) and 80% uptake (\$400B savings reduction, \$1.3T deficit reduction) but only a household count (39M) for 70% uptake. The 70% uptake scenario now also states approximately \$600B in savings reduction and \$1.5T in deficit reduction, consistent with the per-household figures used in the 90% and 80% scenarios.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What didn't change. All platform commitments remain unchanged. Mathematical models were not modified. The numerical figures in all comparison tables remain identical to v2.19. v2.19.1 makes only the editorial corrections described above.</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Documents updated in v2.19.1. 05_Behavioral_Economics_And_Uptake_Friction.docx (v1.0 → v1.1, three Exposure Point headings normalized). 05_Climate_Policy_Beyond_Grid_Modernization.docx (v1.0 → v1.1, Direction C heading normalized and Design Directions promoted to top-level). 05_Federal_Fiscal_Impact_Analysis.docx (v1.1 → v1.2, 70% uptake scenario dollar figures added). 06_We_The_People_Calculator.html (v1.2, visible byline updated to reflect v2.19). 01_Platform_Package_Version.docx (v1.22 → v1.23, this changelog entry added).</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2.19 — May 6, 2026 (Minor Release)</w:t>
      </w:r>
    </w:p>
    <w:p>
      <w:pPr>
        <w:spacing w:after="200" w:line="320"/>
        <w:jc w:val="both"/>
      </w:pPr>
      <w:r>
        <w:rPr>
          <w:rFonts w:ascii="Georgia" w:cs="Georgia" w:eastAsia="Georgia" w:hAnsi="Georgia"/>
          <w:b/>
          <w:bCs/>
          <w:sz w:val="22"/>
          <w:szCs w:val="22"/>
        </w:rPr>
        <w:t>What's new in v2.19. v2.19 is a minor release addressing six audit findings from the v2.18 audience verification audit plus four smaller editorial improvements. The release adds substantive new analytical content (the Federal Fiscal Impact Analysis sensitivity sections), structural integration of the v2.14-v2.18 phased-expansion topics into the entry-point Manifesto, scope-warning to the calculator, full rewrite of the Constituent Letter for v2.x platform scope, cross-references from older documents to phased-expansion documents, and updates to the supporter reading path to include climate engagement.</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CRIT-2 (calculator scope warning) addressed. The calculator (v1.1 → v1.2) now includes a prominent scope notice immediately above the input form. The notice tells users that the calculator models working-income standard-filing-status households and provides a detailed expandable list mapping specific situations (retirement, cohabiting, multigenerational, public-sector, Section 8, TANF, non-citizen, territorial, long-term care) to the relevant analytical document. Users outside the supported scope are now informed rather than receiving potentially misleading calculator output.</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CRIT-3 (Manifesto integration of phased-expansion topics) fully addressed. The Manifesto (v2.1 → v2.2) now includes a structured subsection within 'How the Platform Has Grown' titled 'The Twelve Specific Situations the Platform Has Worked Out'. The subsection lists each phased-expansion topic with one-sentence description and item reference. Readers of the entry-point Manifesto now have a substantive map of the platform's analytical depth and can navigate directly to the relevant analytical framing document for their specific situation.</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SIG-1 (Federal Fiscal Impact Analysis sensitivity sections) addressed. Two new H1 sections added to FFIA (v1.0 → v1.1): 'Sensitivity to Behavioral Economics Uptake' and 'Sensitivity to State Cooperation Refusal'. Each section quantifies how the headline $900B/year deficit reduction figure changes under different scenarios. Notably, the behavioral economics sensitivity is framed honestly: lower uptake improves the federal fiscal picture but means the platform fails to deliver intended benefits to households — the platform's purpose is benefit delivery, not deficit reduction in isolation. State cooperation sensitivity quantifies $80-180B/year additional federal cost under realistic non-cooperation scenarios.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SIG-2 (Constituent Letter update for full platform scope) addressed. The Letter (v1.0 → v2.0) now introduces the full seven-pillar architecture rather than just the Community Contribution Plan. The technical-proposal tone and three-part request structure are preserved. The Letter now references the Manifesto, the Reader's Guide, and specific analytical work. The enclosure changes from a v1.x white paper to the v2.19 package summary. Re: line and footer updated. Length approximately doubles (4,098 → 7,442 chars) to accommodate the broader scope; the Letter is now closer to two pages than to one page.</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SIG-5 (cross-references between v2.13 docs and v2.14-v2.18 docs) addressed. New cross-reference sections added to four documents: Federal Program Integration Plan (v1.0 → v1.1), Does This Raise Taxes (v1.4 → v1.5), What This Means For You (v1.4 → v1.5), and the Manifesto (CRIT-3 work). Each document now directs readers to the relevant phased-expansion analytical documents for situation-specific analysis. Cross-references are organized by household situation (retiree, cohabiting, multigenerational, etc.) so readers can navigate directly to their case.</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SIG-6 (supporter reading path includes climate document) addressed. The TOC's potential-supporter reading path (paragraph 21) now points environmental-policy-focused supporters to Climate Policy Beyond Grid Modernization (item 74) and directs supporters with situation-specific concerns to the broader phased-expansion analytical work in items 63-74. Reviewer E's audit finding ("reading path provides no climate engagement") is addressed.</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Additional editorial fixes (MIN findings):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MIN-2 (slideshow figure refresh) addressed. Slide 8 now correctly characterizes the $8K healthcare and $22K childcare figures as per-pillar amounts ("on healthcare alone" and "on childcare alone") rather than presenting them as competing top-line figures with the platform's $16,229 median household savings figure. Slide 14 updated from outdated "26 documents, 2,400+ formulas" to current "74 documents, 19 mathematical models, ~12,000 formulas". Both PPTX and PDF formats refreshed.</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MIN-3 (Wealth Surcharge Architecture document references) addressed. The two references (in 05_Wage_Floors_As_Tax_Architecture.docx and the calculator) to a "planned for a future release" Wealth Surcharge Architecture document have been replaced with honest framing: the surcharge architecture is conceptually established at the platform level but specific thresholds, rates, and revenue projections require detailed analytical substantiation that future platform versions will provide. The references no longer create the impression of an imminent unfulfilled commitment.</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MIN-5 ($125K MFJ worked example) addressed. The Does This Raise Taxes document (v1.4 → v1.5) now includes a second worked example: 'Worked Example: A Professional Household at $125,000 MFJ'. The example walks through the same current/platform/difference structure as the $75K median anchor, showing approximately $34,695 in annual savings (28% of household income) for a $125K MFJ household with two children needing childcare. The example explicitly discusses sensitivity to specific household circumstances and refers readers to the calculator for personalized analysis.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Grammar fix (TOC paragraph 25) addressed. The vision-and-communication section description previously read "They contain less analytical detail than the technical documents but more accessibility for general readers" — the second clause's "contain accessibility" was an awkward shared-verb collocation. Updated to "They contain less analytical detail than the technical documents but are more accessible for general readers" with parallel verb structure.</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What didn't change. All platform commitments remain unchanged. Mathematical models were not modified (no new stress scenarios, no formula changes). The numerical figures in all comparison tables remain identical to v2.18.1. All v2.13/v2.14/v2.15/v2.16/v2.17/v2.18/v2.18.1 work carries forward unchanged. v2.19 adds analytical sensitivity content, integration content, and cross-references rather than modifying existing analysis.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Documents updated in v2.19. 02_We_The_People_Platform.docx (v2.1 → v2.2). 02_Constituent_Letter.docx (v1.0 → v2.0). 05_Federal_Fiscal_Impact_Analysis.docx (v1.0 → v1.1). 05_Federal_Program_Integration_Plan.docx (v1.0 → v1.1). 05_Does_This_Raise_Taxes.docx (v1.4 → v1.5). 05_What_This_Means_For_You.docx (v1.4 → v1.5). 05_Wage_Floors_As_Tax_Architecture.docx (v1.1 → v1.2). 06_We_The_People_Calculator.html (v1.1 → v1.2). the original Platform Overview deck file (pptx) and .pdf (v1.0 → v1.1). 01_Platform_Package_TOC.docx (v1.21 → v1.22). 01_Platform_Package_Version.docx (v1.21 → v1.22).</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Findings deferred to v3.x. The remaining audit findings are scoped to a future major release: MIN-4 (Combined Reform Model climate stress scenario), Open Questions resolution (~100 questions across 12 phased-expansion documents), calculator redesign for non-nuclear-family scenarios (multi-filer workflow, retirement income fields, etc.), SIG-7 (comparison to other progressive proposals such as UBI, Medicare for All, Green New Deal), and substantive scope additions (long-term care commitment, comprehensive climate policy, housing affordability). These represent the next phase of platform development beyond the v2.x editorial and analytical-depth work.</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2.18.1 — May 6, 2026 (Patch Release)</w:t>
      </w:r>
    </w:p>
    <w:p>
      <w:pPr>
        <w:spacing w:after="200" w:line="320"/>
        <w:jc w:val="both"/>
      </w:pPr>
      <w:r>
        <w:rPr>
          <w:rFonts w:ascii="Georgia" w:cs="Georgia" w:eastAsia="Georgia" w:hAnsi="Georgia"/>
          <w:b/>
          <w:bCs/>
          <w:sz w:val="22"/>
          <w:szCs w:val="22"/>
        </w:rPr>
        <w:t>What's new in v2.18.1. v2.18.1 is a patch release addressing findings from the v2.18 audience verification audit. The release contains editorial fixes (no new analytical content beyond the political positioning addition) plus a focused expansion of the Manifesto to include political positioning and to acknowledge the v2.14-v2.18 scope-expansion analytical work.</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CRIT-4 (styling regression) addressed: All twelve phased-expansion analytical framing documents (v2.14-v2.18) had a structural styling regression where body paragraphs were rendered as Heading 1 / Heading 2 in Word and section heading paragraphs were rendered as body text. The audit had originally identified this in three v2.17 documents; comprehensive inspection during the patch determined the bug was present in all twelve phased-expansion documents (the build template for these documents had inverted heading and body styling). The patch applies a comprehensive fix: 70 mis-styled Heading 1 paragraphs demoted to body, 43 mis-styled Heading 2 paragraphs demoted to body, 113 section heading paragraphs promoted to Heading 1, 19 subsection heading paragraphs promoted to Heading 2. All twelve documents now render correctly in Word and Pages.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CRIT-1 (TOC duplicated text and wrong item numbers) addressed: TOC paragraph 20 (skeptic reading path) had its text duplicated with two slightly different versions of the path concatenated. The original text was retained; the duplicated copy was removed. TOC paragraph 21 (potential supporter reading path) similarly had duplicated text, and the duplicate copy referenced the slideshow as 'items 28-29' (a v1.x-era item number) rather than the correct 'item 53'. Both issues fixed in the patch. Reading-path navigation now points to correct item numbers.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MIN-1 (TOC word-count error) addressed: TOC paragraph 14 stated 'forty-four items' (a v1.x-era count); the package contains seventy-four items as of v2.18. Corrected to 'seventy-four items'.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SIG-3 (TOC wrong item number for Wage Floor Empirical Analysis) addressed: TOC paragraph 19 (policy professional reading path) referenced 'Wage Floor Empirical Analysis (item 14)' but item 14 is the 'Education Fund + Cost-Based Pricing Model'. The actual Wage Floor Empirical Analysis is item 13. Corrected.</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SIG-8 (TANF duplicated headings) was determined to be a false-positive finding. On detailed inspection, the TANF document has a single 'Open Questions' heading and a single 'Closing' heading. The earlier audit's text-search method had counted later body-paragraph occurrences of these phrases as separate headings. No fix required; the underlying styling concern is addressed by CRIT-4.</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Political positioning section added to the Manifesto: A new top-level section, 'How the Platform Engages Political Reality', has been added to the Manifesto (item 1) following 'How the Pillars Reinforce Each Other'. The section describes which platform features traditionally appeal to conservative, progressive, and moderate political traditions. It frames the platform's design as deliberately cross-cutting rather than centrist or partisan, and acknowledges the real political opposition the platform faces from voices within each tradition. The Manifesto's existing 'How the Platform Has Grown' section has also been lightly extended with a paragraph acknowledging the v2.14-v2.18 phased-expansion analytical work and pointing readers to the relevant TOC items (63-74).</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What didn't change. All platform commitments remain unchanged. No mathematical models were modified. The numerical figures in all comparison tables remain identical to v2.18. All v2.13/v2.14/v2.15/v2.16/v2.17/v2.18 work carries forward unchanged. v2.18.1 makes only the editorial corrections and the focused political positioning addition described above.</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Documents updated in v2.18.1. 02_We_The_People_Platform.docx (v2.0 → v2.1, political positioning section added, scope expansion acknowledgment added). 01_Platform_Package_TOC.docx (v1.20 → v1.21, four editorial fixes: forty-four→seventy-four; Wage Floor item 14→item 13; deduplicated paragraph 20; deduplicated paragraph 21 and corrected slideshow reference 28-29→53). 01_Platform_Package_Version.docx (v1.20 → v1.21, this changelog entry). 01_Scope_Expansion_Plan_v214_to_v218.md (v1.4 → v1.5, audit results note added). All 12 phased-expansion analytical framing documents had styling regression fix applied (no content changes).</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2.18 — May 5, 2026</w:t>
      </w:r>
    </w:p>
    <w:p>
      <w:pPr>
        <w:spacing w:after="200" w:line="320"/>
        <w:jc w:val="both"/>
      </w:pPr>
      <w:r>
        <w:rPr>
          <w:rFonts w:ascii="Georgia" w:cs="Georgia" w:eastAsia="Georgia" w:hAnsi="Georgia"/>
          <w:b/>
          <w:bCs/>
          <w:sz w:val="22"/>
          <w:szCs w:val="22"/>
        </w:rPr>
        <w:t>What's new in v2.18. v2.18 is the final release in the planned scope expansion (v2.14 through v2.18). This release covers three specialized topics that required the deepest domain knowledge and benefited from prior groundwork: aging-in-place implications (~12 million Americans in retirement communities, CCRCs, and aging support services), US territories (~3.5-3.7 million US citizens and nationals in Puerto Rico, Guam, USVI, American Samoa, and Northern Mariana Islands), and climate policy beyond grid modernization (carbon pricing, environmental justice, climate adaptation, and other scope omissions).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New: Aging-in-Place Implications (05_Aging_In_Place_Implications.docx, v1.0). Identifies long-term care as the platform's largest single coverage gap. Maps the platform against CCRC residents (~750K in ~1,900 communities), assisted living residents (~1M), nursing home residents (~1.3M), and HCBS recipients across diverse state programs. Approximately 53 million Americans provide informal caregiving valued at $400-500 billion annually, almost entirely uncompensated. The platform's silence on long-term care is honest but consequential. Outlines three design directions for future platform versions: Direction A (LTC pillar with dedicated payroll contribution, similar to Washington State LTC Trust Act precedent), Direction B (substantially expanded federal Medicaid HCBS funding), Direction C (hybrid universal LTC insurance plus continued Medicaid). Eight Open Questions including whether the platform should support informal caregivers and how communications should address the long-term care gap explicitly.</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New: US Territories And The Platform (05_US_Territories.docx, v1.0). Maps the platform against approximately 3.5-3.7 million residents of US territories. Examines the constitutional framework (the Insular Cases of 1901-1905 remain operative despite substantial criticism). Walks through each territory's distinctive federal tax structure: Puerto Rico residents pay federal payroll taxes but not federal income tax on Puerto Rico-source income; Guam, USVI, and Northern Mariana Islands operate 'mirror code' systems; American Samoa has a separate tax code. The Section 1108 territorial Medicaid funding cap has been the largest single federal program disparity for territorial residents. Recommends explicit equal extension of platform universal commitments to territories. Identifies three positions on broader territorial federal program treatment (Position A: status quo; Position B: congressional action to equalize federal program treatment; Position C: constitutional or legal reform of territorial status). Nine Open Questions including specific implementation requirements for each territory.</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New: Climate Policy Beyond Grid Modernization (05_Climate_Policy_Beyond_Grid_Modernization.docx, v1.0). Honest acknowledgment of the platform's largest scope omission. Maps what the platform addresses (Energy Grid Modernization, Civic Infrastructure with climate adaptation overlap, Sovereign Fund investment strategy implications) versus what it omits (carbon pricing, fossil fuel subsidies, environmental justice, climate adaptation, agricultural emissions, building efficiency). Outlines five design directions for future climate integration: Direction A (carbon pricing as Sovereign Fund revenue source, ~$200B/year initially), Direction B (environmental justice integration with Civic Infrastructure), Direction C (climate adaptation as Civic Infrastructure component), Direction D (building code and efficiency integration), Direction E (agricultural climate policy). The platform's architecture leaves room for substantial climate policy expansion without requiring fundamental redesign. Ten Open Questions document the unresolved choices.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Phasing plan completed. v2.14 (delivered): foundational topics. v2.15 (delivered): calculator-visible edge cases. v2.16 (delivered): retirement and employment transitions. v2.17 (delivered): means-tested program interactions. v2.18 (this release): specialized and geographic topics. The five-release phased scope expansion is now complete. Twelve substantive topic areas now have full analytical depth coverage, totaling approximately 320,000 characters across 12 new analytical framing documents.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What didn't change. All platform commitments remain unchanged. No mathematical models were modified. The numerical figures in all comparison tables remain identical to v2.17. All v2.13/v2.14/v2.15/v2.16/v2.17 work carries forward unchanged. v2.18 adds analytical scope; it does not modify existing analysis.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Documents updated in v2.18. 05_Aging_In_Place_Implications.docx (v1.0, new). 05_US_Territories.docx (v1.0, new). 05_Climate_Policy_Beyond_Grid_Modernization.docx (v1.0, new). 01_Platform_Package_Version.docx (v1.19 -&gt; v1.20). 01_Platform_Package_TOC.docx (v1.19 -&gt; v1.20). 01_Scope_Expansion_Plan_v214_to_v218.md (v1.3 -&gt; v1.4, marks plan COMPLETE). Total deliverables: 74 (was 71).</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2.17 — May 5, 2026</w:t>
      </w:r>
    </w:p>
    <w:p>
      <w:pPr>
        <w:spacing w:after="200" w:line="320"/>
        <w:jc w:val="both"/>
      </w:pPr>
      <w:r>
        <w:rPr>
          <w:rFonts w:ascii="Georgia" w:cs="Georgia" w:eastAsia="Georgia" w:hAnsi="Georgia"/>
          <w:b/>
          <w:bCs/>
          <w:sz w:val="22"/>
          <w:szCs w:val="22"/>
        </w:rPr>
        <w:t>What's new in v2.17. v2.17 continues the phased scope expansion. This release covers three means-tested program interactions: Section 8 housing vouchers (~5 million households), TANF cash assistance (~1 million families), and multigenerational households (~18 percent of US households containing approximately 62 million people). All three involve the platform's interaction with means-tested or income-conditional federal programs and require working through mechanics that the platform documents currently leave implicit.</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New: Section 8 Housing And Federal Housing Assistance (05_Section_8_Housing_And_Federal_Housing_Assistance.docx, v1.0). Maps the platform's interaction with the federal Housing Choice Voucher Program. Identifies the mechanical interactions where universal childcare and universal healthcare reduce the value of Section 8's childcare expense deduction and medical expense deduction respectively, producing apparent rent increases that are more than offset by direct household savings on those costs but require careful communication to avoid political misperception. Examines the waitlist problem (only ~25 percent of eligible households actually receive vouchers) and outlines three approaches to Section 8 expansion: Approach A leaves Section 8 unchanged; Approach B uses Sovereign Fund mature steady-state capacity to fund universal eligibility-based access (~$40-50 billion annual additional federal expenditure); Approach C restructures federal housing policy more fundamentally. Open Questions: whether the platform should commit to housing affordability as a formal policy area, HUD regulatory adjustment to deduction calculations under universal services, and source-of-income discrimination preemption.</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New: TANF And Cash Assistance (05_TANF_And_Cash_Assistance.docx, v1.0). Maps the platform's interaction with the federal TANF block grant program (~1 million families served, dramatically reduced from AFDC's peak of ~5 million). Identifies how universal childcare and universal healthcare fundamentally change TANF's economic logic: the work requirement structure assumed labor market dynamics that no longer apply when childcare is essentially free under the platform. Outlines three TANF restructuring approaches: Approach A leaves TANF substantially unchanged (path of least resistance, produces drift toward irrelevance); Approach B substantially restructures TANF as focused last-resort cash assistance; Approach C replaces TANF with a refundable family assistance credit administered through the federal tax system (most consistent with platform's broader architecture). The platform's broader anti-poverty architecture (wage floor exemption, Bridge Credit, Founding Stake, universal services) reduces a low-income family's costs by $20,000-25,000 per year regardless of TANF choice; TANF's specific role within this broader architecture remains unspecified. Seven Open Questions document the unresolved choices, including whether the platform should commit to ending poverty (vs reducing it) as an explicit goal.</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New: Multigenerational Households (05_Multigenerational_Households.docx, v1.0). Maps the platform's treatment of approximately 24 million multigenerational households containing ~62 million people. The platform's per-individual benefits architecture and per-filer tax architecture handle these households cleanly without requiring special-case design. The wage floor architecture is generally favorable for multigenerational households because multiple filers can each claim occupational wage floors, often producing larger combined exemption than the standard deduction. Identifies four design choices warranting explicit attention: Bridge Credit evaluation methodology (per-filer vs household-aware), informal caregiver support (currently unaddressed), long-term care policy (largest unaddressed gap), and calculator workflow support for multi-filer households. Includes specific patterns: adult children living with parents (~16 million Americans 18-34 living with parents); grandparents raising grandchildren (~3 million children in ~2 million households); three-generation households (~6-7 million households); and cultural patterns that produce substantially higher rates among Hispanic, Asian American, and Native American households. Seven Open Questions document remaining work.</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Phasing plan progress. v2.14 (delivered): foundational topics. v2.15 (delivered): calculator-visible edge cases. v2.16 (delivered): retirement and employment transitions. v2.17 (this release): means-tested program interactions. v2.18 (planned): aging-in-place + territories + climate.</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What didn't change. All platform commitments remain unchanged. No mathematical models were modified. The numerical figures in all comparison tables remain identical to v2.16. The v2.13 calculator UX fixes, v2.13 incidence documentation, v2.14 foundational topic documents, v2.15 calculator-visible edge case documents, and v2.16 retirement and employment transition documents all carry forward unchanged. v2.17 adds analytical scope; it does not modify existing analysis.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Documents updated in v2.17. 05_Section_8_Housing_And_Federal_Housing_Assistance.docx (v1.0, new). 05_TANF_And_Cash_Assistance.docx (v1.0, new). 05_Multigenerational_Households.docx (v1.0, new). 01_Platform_Package_Version.docx (v1.18 -&gt; v1.19). 01_Platform_Package_TOC.docx (v1.18 -&gt; v1.19). 01_Scope_Expansion_Plan_v214_to_v218.md (v1.2 -&gt; v1.3). Total deliverables: 71 (was 68).</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2.16 — May 5, 2026</w:t>
      </w:r>
    </w:p>
    <w:p>
      <w:pPr>
        <w:spacing w:after="200" w:line="320"/>
        <w:jc w:val="both"/>
      </w:pPr>
      <w:r>
        <w:rPr>
          <w:rFonts w:ascii="Georgia" w:cs="Georgia" w:eastAsia="Georgia" w:hAnsi="Georgia"/>
          <w:b/>
          <w:bCs/>
          <w:sz w:val="22"/>
          <w:szCs w:val="22"/>
        </w:rPr>
        <w:t>What's new in v2.16. v2.16 continues the phased scope expansion. This release covers two retirement and employment topics: public-sector worker transitions, and existing pensioners. Both involve specific worker categories with established benefit structures (FEHB and FERS for federal civilians, TRICARE and military retirement for service members and veterans, varied state systems for state and local government employees) that interact distinctively with the platform. Both require policy decisions about preservation of existing arrangements versus integration into universal architecture, and both involve large constituencies whose support or opposition affects platform deployment.</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New: Public-Sector Worker Transitions (05_Public_Sector_Worker_Transitions.docx, v1.0). Maps the platform against approximately 22 million public-sector workers across federal civilian (2.3M), military active duty (1.3M plus 800K reserves/guard), Postal Service (640K), and state and local government (19.5M) categories. The cleanest design treats existing public-sector benefits (FEHB, TRICARE, FERS, military retirement, state pensions and health programs) as enhanced coverage layered atop universal foundation. This preserves existing benefits unchanged, respects vested rights doctrine, minimizes political opposition from organized public-sector unions, and integrates with the platform's universal architecture. The most significant unresolved issue is treatment of Section 218 non-covered workers (approximately 5 million state and local government employees who do not pay FICA and would be excluded by default from a FICA-equivalent universal healthcare contribution). Resolution requires explicit statutory design and probably state-level cooperation negotiation. Nine Open Questions document remaining work.</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New: Existing Pensioners and the Platform (05_Existing_Pensioners.docx, v1.0). Maps the platform against approximately 75 million Americans receiving retirement income from at least one defined benefit source: Social Security retirees (52M), state and local government pensioners (11M), federal civilian retirees (2.6M), military retirees (2.1M), and private DB plan recipients (10M, declining). The platform's design treatment of pensioners is largely about preservation: existing benefits continue unchanged as vested rights; existing healthcare arrangements (Medicare, FEHB, TRICARE, state retiree benefits) continue with universal healthcare integration; existing tax treatment continues with the wage floor exemption available as alternative methodology. The platform's most valuable specific contributions to pensioners are universal healthcare's coverage of the early-retiree gap (eliminating the financial planning challenge of pre-Medicare years) and broader insulation from healthcare cost inflation that universal coverage provides. The most significant unresolved issues are the long-term care gap (acknowledged but not solved), the Social Security taxation threshold question, and the wage floor exemption mechanics for retirement income. Eight Open Questions document remaining work.</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Phasing plan progress. v2.14 (delivered): foundational topics. v2.15 (delivered): calculator-visible edge cases. v2.16 (this release): retirement and employment transitions. v2.17 (planned): Section 8 + TANF + multigenerational households. v2.18 (planned): aging-in-place + territories + climate.</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What didn't change. All platform commitments remain unchanged. No mathematical models were modified. The numerical figures in all comparison tables remain identical to v2.15. The v2.13 calculator UX fixes, v2.13 incidence documentation, v2.14 foundational topic documents, and v2.15 calculator-visible edge case documents all carry forward unchanged. v2.16 adds analytical scope; it does not modify existing analysis.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Documents updated in v2.16. 05_Public_Sector_Worker_Transitions.docx (v1.0, new). 05_Existing_Pensioners.docx (v1.0, new). 01_Platform_Package_Version.docx (v1.17 -&gt; v1.18). 01_Platform_Package_TOC.docx (v1.17 -&gt; v1.18). 01_Scope_Expansion_Plan_v214_to_v218.md (v1.1 -&gt; v1.2). Total deliverables: 68 (was 66).</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2.15 — May 5, 2026</w:t>
      </w:r>
    </w:p>
    <w:p>
      <w:pPr>
        <w:spacing w:after="200" w:line="320"/>
        <w:jc w:val="both"/>
      </w:pPr>
      <w:r>
        <w:rPr>
          <w:rFonts w:ascii="Georgia" w:cs="Georgia" w:eastAsia="Georgia" w:hAnsi="Georgia"/>
          <w:b/>
          <w:bCs/>
          <w:sz w:val="22"/>
          <w:szCs w:val="22"/>
        </w:rPr>
        <w:t>What's new in v2.15. v2.15 continues the phased scope expansion begun in v2.14. This release covers two calculator-visible edge cases: legal permanent residents and other non-citizens, and cohabiting unmarried couples. Both are categories where users entering their actual situation in the calculator today either get surprised by the platform's silence or have to make implicit assumptions the platform documents do not explain.</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New: Non-Citizens And Platform Eligibility (05_Non_Citizens_And_Platform_Eligibility.docx, v1.0). Maps the platform's commitments against five non-citizen categories (legal permanent residents, long-term work visa holders, student visa holders, TPS/asylum/refugee status, unauthorized immigrants). Identifies the major design choices: the federal income tax architecture should likely apply to all filers regardless of citizenship status; the Founding Stake is reasonably citizenship-restricted; healthcare, childcare, and mental health benefits should align with contribution payments for everyone except possibly unauthorized workers, where the platform must make a deliberate equity choice. Three approaches for unauthorized workers are outlined: accept asymmetry (path of least resistance), partial coverage (requires state cooperation), integrate with comprehensive immigration reform (most ethically coherent). Mixed-status families are addressed with a defensible principle: treat each individual member by their category rather than treating the family as monolithically eligible. Failure modes documented include pay-but-don't-receive, documentation friction, fear-based non-engagement (citing the chilling effect of the 2019 public charge rule), and state-level variability. Eight Open Questions identify what the analysis raises but does not resolve, including the unauthorized worker design choice itself.</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New: Cohabiting Unmarried Couples (05_Cohabiting_Unmarried_Couples.docx, v1.0). Works through the platform's treatment of approximately 17 million Americans living with unmarried partners. The federal tax system already treats cohabiting partners as separate filers (Single or HoH); the platform inherits this framework cleanly. The interesting design questions are about per-individual versus per-household benefits structure, dependent allocation rules for couples with shared children, and the interaction with state-level structures (common-law marriage in approximately ten states, domestic partnership registries). Per-individual architecture handles most cases; the analysis identifies edge cases requiring explicit attention: mixed-status cohabiting couples (intersecting with the non-citizen analysis), couples with shared childcare across multiple households, mid-year composition changes affecting Bridge Credit evaluation, and Direct File support for coordinated tax-time decision-making. Seven Open Questions document remaining work.</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Phasing plan progress. v2.14 (delivered): foundational topics. v2.15 (this release): calculator-visible edge cases. v2.16 (planned): public-sector workers + existing pensioners. v2.17 (planned): Section 8 + TANF + multigenerational households. v2.18 (planned): aging-in-place + territories + climate.</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What didn't change. All platform commitments remain unchanged. No mathematical models were modified. The numerical figures in all comparison tables remain identical to v2.14. The v2.13 calculator UX fixes, v2.13 incidence documentation, and v2.14 foundational topic documents (behavioral economics, state cooperation) all carry forward unchanged. v2.15 adds analytical scope; it does not modify existing analysis.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Documents updated in v2.15. 05_Non_Citizens_And_Platform_Eligibility.docx (v1.0, new). 05_Cohabiting_Unmarried_Couples.docx (v1.0, new). 01_Platform_Package_Version.docx (v1.16 -&gt; v1.17). 01_Platform_Package_TOC.docx (v1.16 -&gt; v1.17). Total deliverables: 66 (was 64).</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2.14 — May 5, 2026</w:t>
      </w:r>
    </w:p>
    <w:p>
      <w:pPr>
        <w:spacing w:after="200" w:line="320"/>
        <w:jc w:val="both"/>
      </w:pPr>
      <w:r>
        <w:rPr>
          <w:rFonts w:ascii="Georgia" w:cs="Georgia" w:eastAsia="Georgia" w:hAnsi="Georgia"/>
          <w:b/>
          <w:bCs/>
          <w:sz w:val="22"/>
          <w:szCs w:val="22"/>
        </w:rPr>
        <w:t>What's new in v2.14. v2.14 begins the systematic addition of substantive coverage on the six topic areas the v2.12 audit identified as having zero coverage and the six topics with partial coverage that should be deepened. The plan is phased across versions v2.14 through v2.18, with each release adding two to three topics at full analytical depth (approximately twenty pages per topic). v2.14 covers the two foundational topics: behavioral economics and uptake friction, and state-level cooperation requirements. Both are foundational because they shape how every other platform commitment actually delivers in practice.</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New: Behavioral Economics and Uptake Friction (05_Behavioral_Economics_And_Uptake_Friction.docx, v1.0). Examines the platform's exposure to predictable behavioral friction in how households engage with universal programs. Identifies three architectural protections in the platform's design (default-in coverage, Direct File, refundable mandatory distributions) and five exposure points (occupation reporting for wage floor, state-administered program interactions, methodology choice in tax filing, loss aversion in political transition, information asymmetry with adversaries). Provides sensitivity analysis at 90, 80, and 70 percent uptake scenarios. The 80 percent scenario (EITC-equivalent rate) would mean approximately 26 million households experience net loss while paying contributions for benefits they do not receive. The platform's claim of universal benefit holds robustly only at uptake rates well above 80 percent. The document closes with implementation implications: pilot studies before national rollout, federal infrastructure as a critical-path precondition, loss-aversion-aware communication strategy, and dedicated administrative capacity for ambiguous cases.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New: State-Level Cooperation Requirements (05_State_Level_Cooperation_Requirements.docx, v1.0). Maps the platform's commitments into three federal-state categories: pure federal (the platform delivers regardless of state position), federal-state cooperative (the commitment requires state cooperation but has federal-direct fallback), and federal-funded state-administered (effectively requires state cooperation). Identifies which platform commitments are most exposed to state non-cooperation risk and what design choices reduce that exposure. The Medicaid expansion precedent provides direct learning: ten states have refused expansion for over a decade despite substantial federal funding, suggesting the platform should expect 10 to 20 percent of states to refuse cooperation persistently. Citizens in non-cooperating states would otherwise pay platform contributions while not receiving the corresponding benefits, the worst possible outcome for those households. The document recommends federal-direct delivery options as fallbacks for state non-cooperation, partial-credit refund mechanisms for residents of non-cooperating states, and public tracking of state cooperation status as accountability infrastructure.</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Both new documents include explicit Open Questions sections documenting what the analysis raises but does not resolve. This is by design: the platform should be transparent about what work remains rather than presenting unresolved questions as if they were resolved. Open questions in v2.14's two new documents include: pilot study design for uptake measurement; communication strategy specifics for loss aversion mitigation; constitutional viability of specific federal-direct fallback designs; administrative capacity required for federal-direct fallbacks; treatment of citizens moving between cooperating and non-cooperating states; and the interaction with subnational entities other than states (DC, tribes, territories — the latter being the subject of a planned v2.18 document).</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Why phase the topic-coverage work. Twelve substantive topics is approximately 200-300 pages of new analytical content. Doing all twelve in one release would either compromise depth (skim coverage damages credibility more than no coverage) or take a very long time. Phasing across five releases (v2.14 through v2.18) allows each topic to be developed at the depth of existing analytical framing documents. Each release also undergoes the audience verification testing methodology that has caught real findings in v2.9, v2.10, and v2.12.</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Phasing plan. v2.14 (this release): behavioral economics, state-level cooperation. v2.15: legal permanent residents (non-citizens), cohabiting unmarried couples. v2.16: public-sector worker transitions, existing pensioners. v2.17: Section 8 housing, TANF, multigenerational households. v2.18: aging-in-place implications, US territories, climate beyond grid modernization. The order prioritizes foundational topics first, then calculator-visible gaps, then specialized topics that require the deepest domain knowledge.</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What didn't change. All platform commitments remain unchanged. No mathematical models were modified. No fundamental architecture was revised. The numerical figures in all comparison tables remain identical to v2.13. The v2.13 calculator UX fixes and incidence documentation remain in place. v2.14 adds analytical scope to the platform; it does not modify existing analysis.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Documents updated in v2.14. 05_Behavioral_Economics_And_Uptake_Friction.docx (v1.0, new). 05_State_Level_Cooperation_Requirements.docx (v1.0, new). 01_Platform_Package_Version.docx (v1.15 -&gt; v1.16). 01_Platform_Package_TOC.docx (v1.15 -&gt; v1.16). Total deliverables: 64 (was 62).</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2.13 — May 5, 2026</w:t>
      </w:r>
    </w:p>
    <w:p>
      <w:pPr>
        <w:spacing w:after="200" w:line="320"/>
        <w:jc w:val="both"/>
      </w:pPr>
      <w:r>
        <w:rPr>
          <w:rFonts w:ascii="Georgia" w:cs="Georgia" w:eastAsia="Georgia" w:hAnsi="Georgia"/>
          <w:b/>
          <w:bCs/>
          <w:sz w:val="22"/>
          <w:szCs w:val="22"/>
        </w:rPr>
        <w:t>What's new in v2.13. v2.13 is a fix release addressing the four findings surfaced by the v2.12 audience verification test. Three findings concerned the calculator's user experience and one concerned a cross-document documentation choice.</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Calculator UX fixes. Finding #1 (methodology toggle did not adjust floor exemption) is fixed by making the methodology toggle automatically suggest a floor exemption that matches the published convention. Selecting WTM4Y now sets floor to min(income, $75K) for MFJ, $42K for Single, $50,400 for HoH — reproducing WTM4Y's effective floor convention. Selecting DTRT restores the trade-default floors. Users can override after the auto-set. Finding #2 (no inline wealth surcharge warning) is fixed by adding a prominent warning element below the headline that activates when income exceeds $1 million, explaining that the surcharge is not modeled and the platform-side figure is a lower bound. Finding #3 (methodology toggle did not auto-set payroll state) is fixed by coupling the methodology toggle to the payroll state: WTM4Y sets payroll to mature; DTRT sets payroll to transition. Users can still override the payroll state independently after the methodology change.</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Documentation fix. Finding #4 (healthcare contribution rate documentation inconsistency) is addressed by adding a new subsection in Does This Raise Taxes ("On the 4% Healthcare Contribution Figure") and a new subsection in What This Means For You ("On the Displayed Contribution Rates"). Both subsections explain that the 4 percent rate shown in the citizen-facing tables represents the employer share, that the platform's full architecture is 6 percent total, and that under standard economic incidence theory the entire 6 percent is borne by the household. Readers wanting the complete economic picture are told to add approximately 2 percent of gross income to the platform-side total. The calculator's assumptions panel got an analogous expansion and a footnote indicator next to the healthcare line item.</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Why v2.13 rather than v2.12.1. The work in v2.13 includes substantive analytical content (two new subsections in major analytical documents totaling about 600 words of careful exposition on tax incidence theory, plus working JavaScript fixes that change calculator behavior). It is documentation and UX work but addresses real findings that affect how the platform's claims are received. The minor version increment reflects substantive analytical addition rather than trivial patching.</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What didn't change. All platform commitments remain unchanged. No mathematical models were modified. No new pillars or new arguments were added. The platform's three primary pillars, three adjacent pillars, civic infrastructure pillar, Sovereign Fund architecture, federal program integration, federal fiscal impact analysis, and tax bracket architecture all carry forward unchanged. The numerical figures in all comparison tables remain identical to v2.12. v2.13 is calibration and clarification, not new architecture.</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Documents updated. 05_Does_This_Raise_Taxes.docx (v1.3 -&gt; v1.4): new H3 subsection in Methodology Note. 05_What_This_Means_For_You.docx (v1.3 -&gt; v1.4): new H2 subsection in Methodology Note. 06_We_The_People_Calculator.html (v1.0 -&gt; v1.1): three UX fixes plus expanded incidence note in assumptions panel. 01_Platform_Package_Version.docx (v1.14 -&gt; v1.15) and 01_Platform_Package_TOC.docx (v1.14 -&gt; v1.15).</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2.12 — May 5, 2026</w:t>
      </w:r>
    </w:p>
    <w:p>
      <w:pPr>
        <w:spacing w:after="200" w:line="320"/>
        <w:jc w:val="both"/>
      </w:pPr>
      <w:r>
        <w:rPr>
          <w:rFonts w:ascii="Georgia" w:cs="Georgia" w:eastAsia="Georgia" w:hAnsi="Georgia"/>
          <w:b/>
          <w:bCs/>
          <w:sz w:val="22"/>
          <w:szCs w:val="22"/>
        </w:rPr>
        <w:t>What's new in v2.12. v2.12 adds one new deliverable: an interactive We The People Calculator (06_We_The_People_Calculator.html) that produces personalized side-by-side comparisons matching any household's actual situation. The calculator is the third leg of the citizen-facing tax-comparison work, alongside Does This Raise Taxes (item 19, the median household walk-through) and What This Means For You (item 27, the scaling tables across filer categories). It addresses the limitation that static tables can only show representative scenarios; with the calculator, every household can see their own number.</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How the calculator works. The calculator is a single self-contained HTML file that runs in any modern browser. Nothing is transmitted; all computation happens locally. Users provide their household's actual situation across thirteen inputs (filing status, gross household income, dependent children, children needing childcare, occupation category and wage floor, secondary earner's wage floor for MFJ, state income tax rate, health insurance premium, out-of-pocket medical, childcare cost per child, broadband cost, tax preparation expected value, and toggles for methodology and payroll-tax timeframe). The calculator produces a side-by-side comparison table matching the structure of the existing platform tables, plus a decomposition showing what each pillar contributes.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Transparency design. Every constant the calculator uses is documented in a collapsible 'Show all assumptions' section: the seven 2024 federal tax brackets (single, MFJ, HoH), the 2024 standard deductions, the Child Tax Credit at $2,000 per child, the platform contribution rates (4% healthcare, 0.5% childcare, 0.3% mental health), the platform's effects on healthcare and childcare costs, the wage floor defaults for four occupation categories, and the explicit list of what the calculator does not model (wealth surcharge architecture above $1M, Refundable Transition Bridge Credit, self-employment income, capital gains, state-specific variations, macroeconomic effects). Users can override any default through the input fields. The methodology toggle lets the calculator match either Does This Raise Taxes (broader scope including state tax, OOP medical, childcare costs) or What This Means For You (federal-channel only) so users can verify the calculator against published examples.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Math verified against published examples. The calculator's tax math has been verified against the published examples in Does This Raise Taxes and What This Means For You. The DTRT median household example ($75K MFJ with $60K floor) produces $33,584 current vs $17,355 platform with $16,229 in savings, matching the published figures within rounding. The WTM4Y scaling tables match where the floor exemption convention is the same. The federal income tax calculation uses the standard 2024 brackets with the wage floor exemption replacing the standard deduction; the Child Tax Credit applies to both sides; and the platform contribution rates use the same total-economic-burden treatment used in the published comparison tables.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Why v2.12 rather than v2.11.1. The work in v2.12 adds a substantial new deliverable (a working interactive calculator with embedded documentation, validated tax math, and methodology toggles for cross-referenceability with the published documents). It is not corrective patching; it extends the citizen-facing comparison capability from static representative scenarios to personalized comparisons for any household. The minor version increment reflects new analytical infrastructure on top of the v2.11 baseline.</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What didn't change. All platform commitments remain unchanged. No mathematical models were modified. The architectural reconciliation completed in v2.10 (manifesto + adjacent pillars), the wage floor correction completed in v2.10, the gap-closing analytical work completed in v2.10 (Federal Program Integration Plan, Federal Fiscal Impact Analysis, Tax Bracket Architecture), and the cross-document clarity work completed in v2.11 (DTRT and WTM4Y reciprocal cross-references) all carry forward unchanged. v2.12 adds; it does not modify.</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2.11 — May 5, 2026</w:t>
      </w:r>
    </w:p>
    <w:p>
      <w:pPr>
        <w:spacing w:after="200" w:line="320"/>
        <w:jc w:val="both"/>
      </w:pPr>
      <w:r>
        <w:rPr>
          <w:rFonts w:ascii="Georgia" w:cs="Georgia" w:eastAsia="Georgia" w:hAnsi="Georgia"/>
          <w:b/>
          <w:bCs/>
          <w:sz w:val="22"/>
          <w:szCs w:val="22"/>
        </w:rPr>
        <w:t>What's new in v2.11. v2.11 is a documentation-only release addressing one issue surfaced by the v2.10 audience verification test: cross-document clarity between Does This Raise Taxes and What This Means For You. Both documents present per-household side-by-side comparisons but use different methodologies (broader cost scope and transition-state in DTRT vs federal-channel-only and mature steady-state in WTM4Y). The methodologies are individually correct and individually defensible, but the documents did not explicitly explain the differences, which could lead a reader comparing them to think one or the other contains arithmetic errors.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Does This Raise Taxes (v1.2 -&gt; v1.3). New H3 subsection added inside the Methodology Note H1 section: 'How This Example Relates to What This Means For You.' The subsection explains the broader cost scope (includes state tax, out-of-pocket medical, childcare costs), the transition-state FICA treatment, and the specific scenario assumptions. The subsection then shows that the $16,229 figure here corresponds to $14,864 in WTM4Y (MFJ no kids at $75K) due to the methodology differences, and explains how to interpret each. Closes with a reference to the planned v2.12 calculator that will produce personalized comparisons matching any household's actual situation.</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What This Means For You (v1.2 -&gt; v1.3). Note on Scope section expanded with three new H2 subsections. 'What These Tables Include' enumerates the federal-channel cost categories used consistently across all tables. 'What These Tables Exclude' explicitly names the three substantial cost categories deliberately omitted (state income tax, out-of-pocket medical, childcare costs) and explains why each is excluded (variability across households makes representative figures misleading). 'How These Tables Relate to the Median Household Example in Does This Raise Taxes' provides the reciprocal cross-reference, showing how to read each document's figures together.</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Why v2.11 rather than v2.10.1. The work in v2.11 includes substantive new analytical content (3 new H2 subsections in WTM4Y plus 1 new H3 subsection in DTRT, totaling 9 paragraphs of careful methodological exposition). It is documentation work but not trivial patching. The minor version increment reflects analytical addition on top of the v2.10 baseline; the changes do not modify any commitments, models, or platform architecture.</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What didn't change. All platform commitments remain unchanged. No mathematical models were modified. No new pillars or new arguments were added. The numerical figures in both documents remain as they were in v2.10. The architectural reconciliation completed in v2.10 (manifesto + adjacent pillars), the wage floor correction completed in v2.10, and the gap-closing analytical work completed in v2.10 (Federal Program Integration Plan, Federal Fiscal Impact Analysis, Tax Bracket Architecture) all carry forward unchanged. v2.11 is purely about cross-document clarity.</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Looking ahead to v2.12. The planned v2.12 release will add a single deliverable: an interactive We The People Calculator as a self-contained HTML file. The calculator will take user inputs across all relevant cost dimensions (filing status, gross household income, number of dependents, occupation category mapping to representative wage floor, state of residence for tax adjustment, current health insurance premium, current childcare costs) and produce a personalized side-by-side comparison matching the structure of the existing tables, with the decomposition (wage floor effects, adjacent pillar effects, civic infrastructure effects) shown explicitly. Every assumption will be visible and editable so the user can override defaults if they have better information about their actual situation. The calculator will be added as item 62 in the TOC and folder 06 alongside the slideshow.</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2.10 — May 5, 2026</w:t>
      </w:r>
    </w:p>
    <w:p>
      <w:pPr>
        <w:spacing w:after="200" w:line="320"/>
        <w:jc w:val="both"/>
      </w:pPr>
      <w:r>
        <w:rPr>
          <w:rFonts w:ascii="Georgia" w:cs="Georgia" w:eastAsia="Georgia" w:hAnsi="Georgia"/>
          <w:b/>
          <w:bCs/>
          <w:sz w:val="22"/>
          <w:szCs w:val="22"/>
        </w:rPr>
        <w:t>What's new in v2.10. v2.10 addresses three high-severity findings surfaced by audience verification testing of v2.9 plus three Tier-1 gaps in policy coverage. The findings concerned internal contradictions and architectural incompleteness rather than new analytical work; v2.10 reconciles them while also adding two substantial new analytical documents that close acknowledged gaps in federal program integration and consolidated fiscal impact.</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Three findings addressed (the reconciliation work). Finding 1 (wage floor architecture inconsistency): the median household side-by-side table in Does This Raise Taxes was using single-filer math labeled as median household and showed federal income tax of $8,500 unchanged between current and platform columns, despite the methodology note explicitly claiming the wage floor mechanism produces material differences. The table is now corrected to MFJ math throughout, with federal income tax of $5,016 (current) versus $1,500 (platform with wage floor exemption replacing standard deduction). Total household savings recalculate to $16,229 per year (versus the previous $12,713). Cumulative lifetime impact is now $649,000 nominal, $1,094,000 inflation-adjusted, $444,000 present value (versus the previous $508,000 / $856,000 / $347,000). Finding 2 (manifesto-table misalignment): the manifesto previously stated 'this platform does not propose universal healthcare' and 'this platform does not propose universal childcare' while the citizen-facing tables included these as core platform elements. The manifesto's exclusion section is rewritten as 'How the Platform Has Grown' to acknowledge the architectural transition: the three adjacent pillars (Healthcare, Childcare, Mental Health) have been developed across versions v2.0-v2.2 to the same standard as the original three primary pillars and are now formally part of the platform. Finding 3 (headline savings depended on excluded pillars): with the manifesto reconciliation, the $16,229 figure decomposes transparently into wage floor effects ($3,516, core platform mechanism), adjacent pillar effects ($11,580 from healthcare/childcare/mental health), and civic infrastructure effects ($1,133).</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Adjacent Pillars Under Development repositioned as v2.0 — 'The Three Adjacent Pillars,' subtitled 'Now formally part of the platform, with substantiation and mathematical models.' Opening framing rewritten to acknowledge the architectural integration. Substantiation cross-references added at the end of each pillar section pointing to the relevant folder 04 mathematical models and folder 05 substantiation documents.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Three Tier-1 gaps closed (the new analytical work). Gap 1 (interaction with existing federal programs): a new substantiation document, Federal Program Integration Plan (66 paragraphs, ~14 pages), specifies how universal healthcare integrates with Medicare (preserved with absorption of Part B premiums and Hospital Insurance payroll tax), Medicaid (working-age coverage absorbed; long-term care continues as restructured Medicaid), ACA marketplace subsidies (absorbed by universal coverage; exchanges continue as supplemental marketplaces), and the Veterans Health Administration (preserved unchanged). Long-term care is honestly acknowledged as the largest remaining gap. Gap 2 (federal deficit/debt impact): a new analytical document, Federal Fiscal Impact Analysis (63 paragraphs, ~12 pages), provides the consolidated picture: $4.2 trillion in new federal commitments at mature steady state, $1.5 trillion in absorbed existing programs, $3.6 trillion in new federal revenue including Sovereign Fund disbursements, net impact on federal deficit of approximately negative $900 billion per year (deficit reduction). Sensitivity to Sovereign Fund returns analyzed (4% real Norway-equivalent yields ~$400B reduction; 2% real approximately neutral). Cumulative transition cost analyzed at $8-12 trillion in additional federal borrowing over 25 years. Comparison to CBO projected current-law trajectory ($3.5-4 trillion deficit by 2055) shows mature platform is fiscally favorable. Gap 3 (tax bracket interaction): a new subsection added to Wage Floors as Tax Architecture (Tax Bracket Architecture, ~4 paragraphs) specifying that the platform preserves the seven current federal income tax brackets (10%, 12%, 22%, 24%, 32%, 35%, 37%) with their existing thresholds. The wage floor exemption replaces the standard deduction; brackets apply to taxable income above the floor. Filing status treatment preserved. Wealth surcharge architecture adds layered brackets above existing 37% rather than modifying current bracket rates.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Documents updated. Manifesto (02_We_The_People_Platform.docx) bumped to v2.0. Adjacent Pillars Under Development (02_Adjacent_Pillars_Under_Development.docx) bumped to v2.0. Does This Raise Taxes (05_Does_This_Raise_Taxes.docx) bumped to v1.2. Wage Floors as Tax Architecture (05_Wage_Floors_As_Tax_Architecture.docx) bumped to v1.1. Two new documents added: 05_Federal_Program_Integration_Plan.docx (v1.0) and 05_Federal_Fiscal_Impact_Analysis.docx (v1.0). Package Version (this document) bumped to v1.12. Package TOC (01_Platform_Package_TOC.docx) bumped to v1.12 with new entries added.</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Why v2.10 rather than v2.9.1. The work in v2.10 includes two substantial new analytical documents (~26 pages combined) closing acknowledged gaps, plus architectural reconciliation across three foundational documents (manifesto, adjacent pillars, central tax-comparison document). This is substantive work, not corrective patching. The minor version increment reflects new analytical scope on top of the v2.9 baseline.</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What didn't change. All existing pillar substantiations remain unchanged. No mathematical models were modified. No platform commitments were added or removed (the adjacent pillars were already in the citizen-facing tables; v2.10 reconciled the manifesto with that reality rather than adding new commitments). The Civic Infrastructure pillar substantiation is unchanged. The Sovereign Fund Governance Design is unchanged. The Coalition Mathematics analysis is unchanged. Implementation specifics and legislative pathway analysis remain candidates for future versions; v2.10 closes the architectural-completeness gaps that audience testing identified as fatal to public sharing.</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2.9 — May 5, 2026</w:t>
      </w:r>
    </w:p>
    <w:p>
      <w:pPr>
        <w:spacing w:after="200" w:line="320"/>
        <w:jc w:val="both"/>
      </w:pPr>
      <w:r>
        <w:rPr>
          <w:rFonts w:ascii="Georgia" w:cs="Georgia" w:eastAsia="Georgia" w:hAnsi="Georgia"/>
          <w:b/>
          <w:bCs/>
          <w:sz w:val="22"/>
          <w:szCs w:val="22"/>
        </w:rPr>
        <w:t>What's new in v2.9 (Phase 1). v2.9 expands the citizen-facing benefits-and-costs analysis to incorporate the v2.1 Refundable Transition Bridge Credit and v2.3+ Civic Infrastructure benefits with confirmed funding plans — specifically Universal Broadband, Direct File through the Civic Technology pillar, and federal identity infrastructure for identity theft reduction. The previous citizen-facing documents had not been updated since v2.2 and described only the original v1.0-2.2 pillars; this was a real gap because a citizen reading those documents would have missed the broadband, tax preparation, and identity theft protection benefits the v2.8 platform actually delivers. v2.9 is being released in three phases. Phase 1, completed in this release, addresses the three citizen-facing tax-comparison documents. Phase 2 (planned) will add cost justifications to the substantiation documents themselves. Phase 3 (planned) will capture broader Civic Technology benefits beyond those currently itemized.</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Does This Raise Taxes (v1.1). Median household side-by-side table updated with three new line items: broadband subscription savings ($900 to $0), tax preparation expected value ($150 to $0), identity theft expected loss reduction ($100 to $15). Recalculated totals: $37,068 current vs $24,355 platform, net savings $12,713/year (versus the previous $11,578). Three new sections added between Pros and Cons: Public Infrastructure Benefits Not Captured Here, Methodology Note (including a new subsection explaining how the wage floor architecture affects the calculations), and Intangible Benefits Not Captured in the Dollar Comparison. Cumulative Lifetime Effects updated to present three figures: nominal sum ($508K), inflation-adjusted nominal sum at 2.5% CPI ($856K), and present value at 2% real discount rate ($347K). Narrative figures throughout the document updated to reflect the new $12,713 figure.</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What This Means For You (v1.2). All four detailed-breakdown 12-row tables updated with the three new line items. All five income-scaling tables (covering ~70 data rows) updated with new totals; column headers changed from 'Current Tax + Premium' / 'Platform Total' to 'Current Total Cost' / 'Platform Total Cost' to reflect the broader scope. Master 42-row summary table updated with new totals and recalculated percentages. Four new sections added: Note on Scope, Public Infrastructure Benefits Not Captured Here, Methodology Note, and Intangible Benefits Not Captured in the Tables.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Narrative Example: $100K Tax Comparison (May 5, 2026 update). Federal-tax-wedge tables preserved unchanged because they are scoped specifically to federal channels. New 'Total household impact' subsection added showing $7,800 total household impact for the $100K single filer (versus the $6,538 federal-channel-only figure). Compact versions of Public Infrastructure, Methodology, and Intangible Benefits sections added as Heading 3 subsections.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Scoping principle. Only benefits with confirmed funding plans (substantiation document plus mathematical model) are included as itemized line items in the dollar comparisons. Benefits from Civic Infrastructure components that don't convert cleanly to per-household cash flow (Transportation, Water and Sewer, Public Spaces, Energy Grid Modernization) are noted in a 'Public Infrastructure Benefits Not Captured Here' section but not added as line items. The platform commits to the investment but does not estimate per-household savings for these components.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Intangible benefits approach. Time recovered, reduced financial anxiety, peace of mind from universal coverage, option value in career and family decisions, and cumulative lifetime effects are described qualitatively rather than monetized. Monetizing them would either double-count benefits already in the dollar table or introduce arbitrary conversion factors. The qualitative approach preserves the integrity of the dollar math while honestly acknowledging that the dollar table is not the whole story.</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Wage floor architecture documented explicitly. The platform-side income tax figures throughout the citizen-facing documents are calculated using the platform's wage floor architecture: federal income tax is applied to income above each occupation's empirical wage floor (BLS 25th percentile) rather than above the standard deduction. This was already implicit in the existing tables; v2.9 adds a methodology subsection making the mechanism explicit so readers don't have to reverse-engineer it from the tables.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What v2.9 Phase 1 does not do. v2.9 Phase 1 does not change any platform commitments or cost projections. No mathematical models change. The platform's pillar architecture remains what it is in v2.8.1. What changes is the citizen-facing analysis of how those commitments translate into per-household dollar figures.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Phase 2 additions (May 5, 2026 update). Phase 2 adds Citizen-Facing Value sections to two Civic Infrastructure substantiation documents in folder 05_Analytical_Framing. The new sections provide literature-backed estimates of per-household value for components whose benefits don't translate cleanly to per-household cash flow and were noted but not itemized in the Phase 1 citizen-facing tables.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Physical Civic Infrastructure Substantiation (v1.1). Citizen-Facing Value sections added to all four physical components: Transportation Infrastructure (vehicle damage reduction $200/yr averaged, transit access $5,000-10,000/yr where deployed, time-in-traffic and safety value qualitative), Water and Sewer Systems (lead exposure reduction $50-150K lifetime per affected child, service disruption reduction $50-100/yr averaged), Public Spaces (library value $2,500-3,000/yr per library-using household concentrated among lower-income households), and Energy Grid Modernization (outage cost reduction $50-150/yr averaged with substantially higher value in outage-prone regions). Each section includes explicit honest framing about distribution unevenness across households.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Civic Technology Substantiation (v1.1). Citizen-Facing Value sections added to three of the five subcomponents (the other two, Federal Identity Infrastructure and Return-Free Tax Filing, are already itemized in the Phase 1 citizen-facing tables). Modern Federal Digital Services Capability: 3-5 hours/yr time recovered averaged, larger for households interacting frequently with federal systems. Federal Civic Communication Platform: highly concentrated value among eligible non-claimers ($2-7K/yr for affected households via increased EITC capture, SSDI awareness, SNAP enrollment). Accessibility and Multilingual Services: functional access to currently-inaccessible services for ~26% of adults with disabilities and ~22% of non-English-primary households.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Phase 2 maintains the Phase 1 scoping principle. Where the literature supports a per-household figure, Phase 2 provides it with distribution caveats. Where value is too concentrated to average meaningfully, Phase 2 says so explicitly rather than reducing to a misleading single number. The conservative undersell-rather-than-overstate approach is preserved throughout.</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Phase 3 additions (May 5, 2026 update). Phase 3 adds a new top-level Cross-Cutting Citizen Benefits section to the Civic Technology Substantiation document. The new section synthesizes the eight benefit threads that the platform's Civic Technology investment delivers and extends the analysis to cover three benefit threads that emerge from integrated infrastructure rather than from any single subcomponent.</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Civic Technology Substantiation (v1.2). The new Cross-Cutting Citizen Benefits section (32 paragraphs across nine subsections) catalogs all eight Civic Technology benefit threads in one place: Direct File tax preparation savings (Phase 1 itemized), identity theft and fraud reduction (Phase 1 itemized), EITC capture and benefit-eligibility outreach (Phase 2), modernized federal digital services time recovery (Phase 2), accessibility and multilingual functional access (Phase 2), and three Phase 3 new threads: bureaucratic friction time savings (8-15 hours/yr per household concentrated among households navigating life transitions), faster benefit determinations (months of earlier benefit receipt with cash-flow value of several thousand dollars for households applying for determination-based benefits), and self-employed and small-business compliance time (8-15 hours/yr per affected entity for 16M self-employed households and 33M small businesses).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v2.9 is now complete. With Phase 3 done, the v2.9 work originally scoped is finished. The citizen-facing benefits-and-costs analysis incorporates v2.1 and v2.3+ pillars with confirmed funding plans (Phase 1), the Civic Infrastructure substantiation documents include literature-backed Citizen-Facing Value sections (Phase 2), and the Civic Technology substantiation includes the synthesizing Cross-Cutting Citizen Benefits section covering all eight benefit threads (Phase 3).</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Why v2.9 rather than v2.8.2. The work in Phase 1 is substantive analytical addition rather than corrective patching. It introduces per-household estimates for v2.3+ benefits that did not previously exist, three-figure lifetime calculations with inflation, and explicit documentation of the wage floor architecture. Treating this as a patch would understate the additive analytical work. Phase 2 and Phase 3 will continue under the v2.9 designation.</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Version 2.8.1 — May 5, 2026</w:t>
      </w:r>
    </w:p>
    <w:p>
      <w:pPr>
        <w:spacing w:after="200" w:line="320"/>
        <w:jc w:val="both"/>
      </w:pPr>
      <w:r>
        <w:rPr>
          <w:rFonts w:ascii="Georgia" w:cs="Georgia" w:eastAsia="Georgia" w:hAnsi="Georgia"/>
          <w:b/>
          <w:bCs/>
          <w:sz w:val="22"/>
          <w:szCs w:val="22"/>
        </w:rPr>
        <w:t>What's new in v2.8.1. v2.8.1 is a structural patch addressing a misalignment that had been sitting in the package since v2.3. The original v1.0 vision document 02_Civic_Infrastructure_Pillar.docx defined Civic Infrastructure as four democratic-institution components: Journalism, Civic Education, Voter Access, and Public Meeting Transparency. In v2.3 the platform formally redefined the Civic Infrastructure pillar to mean shared physical and digital systems: Universal Broadband, Transportation, Water and Sewer, Public Spaces, Civic Technology, and Energy Grid Modernization. The redefined pillar received architectural framing in v2.3, broadband substantiation in v2.4, and full component substantiation in v2.8 — all without updating the v1.0 vision document. The result was two different pillars with the same name. v2.8.1 resolves this by preserving both pillars as distinct documents.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Civic Infrastructure Pillar (rewritten). 02_Civic_Infrastructure_Pillar.docx is rewritten as a v2.0 vision-level entry point for the Civic Infrastructure pillar as defined in v2.3 and substantiated in v2.4 and v2.8. Seven sections cover what civic infrastructure means in this platform, the distinguishing test for what belongs in the pillar, the six components at vision-level depth, the funding mechanism (~$298B annually at full deployment), cross-pillar interactions, and honest limits. No cost models embedded; the substantiation documents in folder 05 and the Excel models in folder 04 carry the analytical load. Cross-references the architectural framing (entry 33) and the component substantiations (entries 41, 49, 51) for analytical depth.</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Informed Citizenship (new). 02_Informed_Citizenship_Pillar.docx is a new strategic vision piece in folder 02 in the same category as Built For What's Coming. Not a formal pillar of the platform. The substantive analysis from the original v1.0 Civic Infrastructure document is preserved largely verbatim — the four components (Journalism, Civic Education, Voter Access, Public Meeting Transparency) and their architectural principles. The framing is rewritten throughout to position the document as Informed Citizenship from its opening, with explicit acknowledgment of the document's origin and its relationship to the formal pillars. The Note on This Document's Status section in the document opening is direct about what the document is and is not.</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Why Option B (preserve both pillars) rather than Option A (rewrite one). Option A would have replaced the Civic Infrastructure vision document with the v2.3-aligned rewrite and retired the original four-component content. Option B preserves the substantive analysis of the four democratic-institution components from the original v1.0 document while bringing the Civic Infrastructure document into alignment with the substantiation work. Option B was chosen because the original four-component analysis is well-written and addresses real concerns (collapsed local journalism, hollowed-out civic education, varying voter access, opaque public meetings) that the platform considers important even though they don't currently fit the platform's primary architectural pattern. Treating the work as a strategic vision piece preserves it without inflating the formal pillar count or implying analytical depth that hasn't been developed.</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What didn't change. v2.8.1 is documentation only. No commitments are added or removed. No cost projections are revised. No mathematical models change. The platform's formal pillar architecture remains what it is in v2.8 — three primary pillars (Community Contribution Plan, Empirical Wage Floors, Sovereign Education Fund), three adjacent pillars (Universal Healthcare, Universal Childcare, Universal Mental Health Access), and the Civic Infrastructure pillar — plus the Informed Citizenship document as a strategic vision piece.</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Why v2.8.1 rather than v2.9. This is a documentation patch correcting a structural misalignment that predates v2.4. It does not add new analytical work, new pillars, or new substantive commitments. The patch numbering convention (v2.8.1 rather than v2.9) reflects the corrective rather than additive nature of the change. Future versions that add substantive analytical work will use minor version increments (v2.9, v2.10, etc.).</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 xml:space="preserve">Version 2.8 — May 5, 2026</w:t>
      </w:r>
    </w:p>
    <w:p>
      <w:pPr>
        <w:spacing w:after="200" w:line="320"/>
        <w:jc w:val="both"/>
      </w:pPr>
      <w:r>
        <w:rPr>
          <w:rFonts w:ascii="Georgia" w:cs="Georgia" w:eastAsia="Georgia" w:hAnsi="Georgia"/>
          <w:b/>
          <w:bCs/>
          <w:sz w:val="22"/>
          <w:szCs w:val="22"/>
        </w:rPr>
        <w:t xml:space="preserve">What's new in v2.8. </w:t>
      </w:r>
      <w:r>
        <w:rPr>
          <w:rFonts w:ascii="Georgia" w:cs="Georgia" w:eastAsia="Georgia" w:hAnsi="Georgia"/>
          <w:color w:val="1A1A1A"/>
          <w:sz w:val="22"/>
          <w:szCs w:val="22"/>
        </w:rPr>
        <w:t xml:space="preserve">v2.8 completes the Civic Infrastructure pillar by substantiating the five components that remained at architectural-only level in v2.7. The new Civic Technology: Component Substantiation document and companion model substantiate the digital civic infrastructure component (federal identity, USDS-style digital services capability, return-free tax filing, civic communication, accessibility and multilingual services). The new Physical Civic Infrastructure: Components Substantiation document and companion model consolidate substantiation of the four physical components (Transportation, Water and Sewer, Public Spaces, Energy Grid Modernization) at the depth needed to confirm the v2.3 architectural framing's component cost ranges.</w:t>
      </w:r>
    </w:p>
    <w:p>
      <w:pPr>
        <w:spacing w:after="200" w:line="320"/>
        <w:jc w:val="both"/>
      </w:pPr>
      <w:r>
        <w:rPr>
          <w:rFonts w:ascii="Georgia" w:cs="Georgia" w:eastAsia="Georgia" w:hAnsi="Georgia"/>
          <w:b/>
          <w:bCs/>
          <w:sz w:val="22"/>
          <w:szCs w:val="22"/>
        </w:rPr>
        <w:t xml:space="preserve">Civic Technology Component. </w:t>
      </w:r>
      <w:r>
        <w:rPr>
          <w:rFonts w:ascii="Georgia" w:cs="Georgia" w:eastAsia="Georgia" w:hAnsi="Georgia"/>
          <w:color w:val="1A1A1A"/>
          <w:sz w:val="22"/>
          <w:szCs w:val="22"/>
        </w:rPr>
        <w:t xml:space="preserve">Five subcomponents totaling $9-14B annually (within v2.3 framing of $10-15B). Federal Identity Infrastructure ($3-4B): Login.gov as universal federal identity layer with multi-modal verification including USPS in-person and trusted referee paths, addressing the accessibility gaps in current online-only verification. Modern Federal Digital Services Capability ($2-3B): USDS restoration to 600-700 staff plus agency Digital Services Teams across 25-35 major agencies, with statutory protection to prevent the kind of administrative dismantling that occurred in 2025. Return-Free Tax Filing System ($1-2B): IRS Direct File expansion to all 50 states with pre-population for eligible taxpayers, saving citizens an estimated $24-26B annually in tax preparation costs. Federal Civic Communication Platform ($1-2B): USA.gov as primary citizen portal with multi-channel infrastructure and proactive outreach. Accessibility and Multilingual Services ($2-3B): Section 508 enforcement and coverage in eight major non-English languages.</w:t>
      </w:r>
    </w:p>
    <w:p>
      <w:pPr>
        <w:spacing w:after="200" w:line="320"/>
        <w:jc w:val="both"/>
      </w:pPr>
      <w:r>
        <w:rPr>
          <w:rFonts w:ascii="Georgia" w:cs="Georgia" w:eastAsia="Georgia" w:hAnsi="Georgia"/>
          <w:b/>
          <w:bCs/>
          <w:sz w:val="22"/>
          <w:szCs w:val="22"/>
        </w:rPr>
        <w:t xml:space="preserve">Physical Civic Infrastructure Components. </w:t>
      </w:r>
      <w:r>
        <w:rPr>
          <w:rFonts w:ascii="Georgia" w:cs="Georgia" w:eastAsia="Georgia" w:hAnsi="Georgia"/>
          <w:color w:val="1A1A1A"/>
          <w:sz w:val="22"/>
          <w:szCs w:val="22"/>
        </w:rPr>
        <w:t xml:space="preserve">Four components consolidated at substantive depth: Transportation Infrastructure ($80-120B annually, four subcomponents covering highway/bridge modernization, transit expansion, passenger rail, and freight/multimodal); Water and Sewer Systems ($40-60B, five subcomponents including lead service line replacement, combined sewer overflow elimination, aging system modernization, rural and tribal water, source water protection from emerging contaminants like PFAS); Public Spaces ($22-32B, federal floor for libraries, parks, community centers, plazas, and cultural infrastructure raising federal share from ~5% to ~15-20%); Energy Grid Modernization ($50-80B, transmission and distribution infrastructure focused on grid investment rather than generation policy). References ASCE 2025 Infrastructure Report Card findings: $9.1T total infrastructure investment need 2024-2033, $3.6T gap, $1.9T grid modernization need, $625B drinking water need over 20 years.</w:t>
      </w:r>
    </w:p>
    <w:p>
      <w:pPr>
        <w:spacing w:after="200" w:line="320"/>
        <w:jc w:val="both"/>
      </w:pPr>
      <w:r>
        <w:rPr>
          <w:rFonts w:ascii="Georgia" w:cs="Georgia" w:eastAsia="Georgia" w:hAnsi="Georgia"/>
          <w:b/>
          <w:bCs/>
          <w:sz w:val="22"/>
          <w:szCs w:val="22"/>
        </w:rPr>
        <w:t xml:space="preserve">Civic Infrastructure Pillar Now Fully Substantiated. </w:t>
      </w:r>
      <w:r>
        <w:rPr>
          <w:rFonts w:ascii="Georgia" w:cs="Georgia" w:eastAsia="Georgia" w:hAnsi="Georgia"/>
          <w:color w:val="1A1A1A"/>
          <w:sz w:val="22"/>
          <w:szCs w:val="22"/>
        </w:rPr>
        <w:t xml:space="preserve">All six components of the Civic Infrastructure pillar are now substantiated: Universal Broadband (v2.4), Civic Technology (v2.8), Transportation (v2.8), Water and Sewer (v2.8), Public Spaces (v2.8), and Energy Grid Modernization (v2.8). Pillar total: $252-357B annually (substantiation midpoint $298.5B), approximately 1.0% of GDP. The pillar is now ready to be defended at the operational depth that the platform's other primary pillars (Community Contribution Plan, Empirical Wage Floors, Sovereign Education Fund) and adjacent pillars (Universal Healthcare, Universal Childcare, Universal Mental Health Access) have.</w:t>
      </w:r>
    </w:p>
    <w:p>
      <w:pPr>
        <w:spacing w:after="200" w:line="320"/>
        <w:jc w:val="both"/>
      </w:pPr>
      <w:r>
        <w:rPr>
          <w:rFonts w:ascii="Georgia" w:cs="Georgia" w:eastAsia="Georgia" w:hAnsi="Georgia"/>
          <w:b/>
          <w:bCs/>
          <w:sz w:val="22"/>
          <w:szCs w:val="22"/>
        </w:rPr>
        <w:t xml:space="preserve">What didn't change. </w:t>
      </w:r>
      <w:r>
        <w:rPr>
          <w:rFonts w:ascii="Georgia" w:cs="Georgia" w:eastAsia="Georgia" w:hAnsi="Georgia"/>
          <w:color w:val="1A1A1A"/>
          <w:sz w:val="22"/>
          <w:szCs w:val="22"/>
        </w:rPr>
        <w:t xml:space="preserve">v2.8 is purely additive. No commitments are removed. No cost projections are revised. No models lose features. The substantiation work confirms the v2.3 architectural framing rather than replacing it. The platform's commitments remain the commitments. The architectural framing remains the framing. Universal Broadband substantiation (v2.4) remains the primary substantiation pattern; the new substantiations follow that pattern at appropriately calibrated depth.</w:t>
      </w:r>
    </w:p>
    <w:p>
      <w:pPr>
        <w:spacing w:after="200" w:line="320"/>
        <w:jc w:val="both"/>
      </w:pPr>
      <w:r>
        <w:rPr>
          <w:rFonts w:ascii="Georgia" w:cs="Georgia" w:eastAsia="Georgia" w:hAnsi="Georgia"/>
          <w:b/>
          <w:bCs/>
          <w:sz w:val="22"/>
          <w:szCs w:val="22"/>
        </w:rPr>
        <w:t xml:space="preserve">Why v2.8 rather than v2.7.x. </w:t>
      </w:r>
      <w:r>
        <w:rPr>
          <w:rFonts w:ascii="Georgia" w:cs="Georgia" w:eastAsia="Georgia" w:hAnsi="Georgia"/>
          <w:color w:val="1A1A1A"/>
          <w:sz w:val="22"/>
          <w:szCs w:val="22"/>
        </w:rPr>
        <w:t xml:space="preserve">Substantive structural completion of the Civic Infrastructure pillar. v2.8 closes a known gap (the architectural framing identified five components beyond Broadband as needing substantiation work) rather than refining existing analysis. Total package grows from 54 to 58 deliverables (60 files in zip including README and VERSIONLOG).</w:t>
      </w:r>
    </w:p>
    <w:p>
      <w:pPr>
        <w:spacing w:after="240"/>
      </w:pPr>
      <w:r>
        <w:t xml:space="preserve"/>
      </w:r>
    </w:p>
    <w:p>
      <w:pPr>
        <w:pStyle w:val="Heading2"/>
        <w:spacing w:after="160" w:before="360"/>
      </w:pPr>
      <w:r>
        <w:rPr>
          <w:rFonts w:ascii="Arial" w:cs="Arial" w:eastAsia="Arial" w:hAnsi="Arial"/>
          <w:b/>
          <w:bCs/>
          <w:color w:val="1F4E78"/>
          <w:sz w:val="28"/>
          <w:szCs w:val="28"/>
        </w:rPr>
        <w:t xml:space="preserve">Version 2.7 — May 5, 2026</w:t>
      </w:r>
    </w:p>
    <w:p>
      <w:pPr>
        <w:spacing w:after="200" w:line="320"/>
        <w:jc w:val="both"/>
      </w:pPr>
      <w:r>
        <w:rPr>
          <w:rFonts w:ascii="Georgia" w:cs="Georgia" w:eastAsia="Georgia" w:hAnsi="Georgia"/>
          <w:b/>
          <w:bCs/>
          <w:sz w:val="22"/>
          <w:szCs w:val="22"/>
        </w:rPr>
        <w:t xml:space="preserve">Coalition Walkthrough added. </w:t>
      </w:r>
      <w:r>
        <w:rPr>
          <w:rFonts w:ascii="Georgia" w:cs="Georgia" w:eastAsia="Georgia" w:hAnsi="Georgia"/>
          <w:color w:val="1A1A1A"/>
          <w:sz w:val="22"/>
          <w:szCs w:val="22"/>
        </w:rPr>
        <w:t xml:space="preserve">v2.7 unpacks the Coalition Mathematics summary numbers into substantive walkthroughs from four angles. The new Coalition Walkthrough: Four Scenarios in Depth document and companion model address the natural follow-up question to v2.6: what does the optimistic scenario actually require, where is the leverage, what is the structural constraint, and what does the journey from beneficiary to supporter look like for one specific family?</w:t>
      </w:r>
    </w:p>
    <w:p>
      <w:pPr>
        <w:spacing w:after="200" w:line="320"/>
        <w:jc w:val="both"/>
      </w:pPr>
      <w:r>
        <w:rPr>
          <w:rFonts w:ascii="Georgia" w:cs="Georgia" w:eastAsia="Georgia" w:hAnsi="Georgia"/>
          <w:b/>
          <w:bCs/>
          <w:sz w:val="22"/>
          <w:szCs w:val="22"/>
        </w:rPr>
        <w:t xml:space="preserve">Walkthrough 1: The Optimistic Scenario. </w:t>
      </w:r>
      <w:r>
        <w:rPr>
          <w:rFonts w:ascii="Georgia" w:cs="Georgia" w:eastAsia="Georgia" w:hAnsi="Georgia"/>
          <w:color w:val="1A1A1A"/>
          <w:sz w:val="22"/>
          <w:szCs w:val="22"/>
        </w:rPr>
        <w:t xml:space="preserve">Specifies the six conditions that must align to produce ~100M supporters: voter turnout above 2024 levels, working-class conversion above 65%, middle-income family conversion above 65%, effective opposition neutralization on at least one major dimension, per-citizen messaging quality at scale, and multi-cycle organizational effort. Includes historical analogs (FDR 1932-1936, Obama 2008) and proponent actions that move probability toward this outcome. None of the six conditions are individually unprecedented; their alignment is the strategic challenge.</w:t>
      </w:r>
    </w:p>
    <w:p>
      <w:pPr>
        <w:spacing w:after="200" w:line="320"/>
        <w:jc w:val="both"/>
      </w:pPr>
      <w:r>
        <w:rPr>
          <w:rFonts w:ascii="Georgia" w:cs="Georgia" w:eastAsia="Georgia" w:hAnsi="Georgia"/>
          <w:b/>
          <w:bCs/>
          <w:sz w:val="22"/>
          <w:szCs w:val="22"/>
        </w:rPr>
        <w:t xml:space="preserve">Walkthrough 2: Working-Class Conversion. </w:t>
      </w:r>
      <w:r>
        <w:rPr>
          <w:rFonts w:ascii="Georgia" w:cs="Georgia" w:eastAsia="Georgia" w:hAnsi="Georgia"/>
          <w:color w:val="1A1A1A"/>
          <w:sz w:val="22"/>
          <w:szCs w:val="22"/>
        </w:rPr>
        <w:t xml:space="preserve">Examines the highest-leverage variable in depth. Documents the empirical 2008-2024 Democratic erosion (60% to 49%) and its drivers (cultural and identity concerns, information environment, Democratic Party brand erosion). Breaks “working class” into six subsegments with different baselines and conversion potentials (white, Black, Hispanic, Asian, rural, urban). Identifies messaging that works (specifics over aggregates, family frames, concrete examples, messengers who share cultural background) versus messaging that doesn't (technocratic framing, identity-coded language, dismissing concerns, promise overflow). Realistic ceiling: ~70%; realistic floor: ~50%.</w:t>
      </w:r>
    </w:p>
    <w:p>
      <w:pPr>
        <w:spacing w:after="200" w:line="320"/>
        <w:jc w:val="both"/>
      </w:pPr>
      <w:r>
        <w:rPr>
          <w:rFonts w:ascii="Georgia" w:cs="Georgia" w:eastAsia="Georgia" w:hAnsi="Georgia"/>
          <w:b/>
          <w:bCs/>
          <w:sz w:val="22"/>
          <w:szCs w:val="22"/>
        </w:rPr>
        <w:t xml:space="preserve">Walkthrough 3: Geographic Distribution. </w:t>
      </w:r>
      <w:r>
        <w:rPr>
          <w:rFonts w:ascii="Georgia" w:cs="Georgia" w:eastAsia="Georgia" w:hAnsi="Georgia"/>
          <w:color w:val="1A1A1A"/>
          <w:sz w:val="22"/>
          <w:szCs w:val="22"/>
        </w:rPr>
        <w:t xml:space="preserve">Addresses the structural constraint that Coalition Mathematics summary numbers don't fully capture. Senate malapportionment means 60 senators can be elected by states totaling ~38% of the population; 50% national popular vote majorities don't reliably produce 60 Senate seats. Even the optimistic scenario (65% national popular vote, ~100M supporters) translates to approximately 50 senators — a bare majority enabling reconciliation but not filibuster-proof legislation. The platform's path to passage requires either filibuster reform (separate political project), reconciliation packaging (legislative design choice), or sustained multi-cycle small-state coalition building.</w:t>
      </w:r>
    </w:p>
    <w:p>
      <w:pPr>
        <w:spacing w:after="200" w:line="320"/>
        <w:jc w:val="both"/>
      </w:pPr>
      <w:r>
        <w:rPr>
          <w:rFonts w:ascii="Georgia" w:cs="Georgia" w:eastAsia="Georgia" w:hAnsi="Georgia"/>
          <w:b/>
          <w:bCs/>
          <w:sz w:val="22"/>
          <w:szCs w:val="22"/>
        </w:rPr>
        <w:t xml:space="preserve">Walkthrough 4: One Family's Path. </w:t>
      </w:r>
      <w:r>
        <w:rPr>
          <w:rFonts w:ascii="Georgia" w:cs="Georgia" w:eastAsia="Georgia" w:hAnsi="Georgia"/>
          <w:color w:val="1A1A1A"/>
          <w:sz w:val="22"/>
          <w:szCs w:val="22"/>
        </w:rPr>
        <w:t xml:space="preserve">Makes the entire abstract analysis concrete through the Hendersons — a suburban Cleveland family of four with $130K combined income, two children, and split political profiles (Sarah lean-Democratic, David lean-Republican). Walks through their actual experience year by year: Year 1 bridge credit, Year 5 Path A broadband deployment, Year 7 healthcare cost stabilization, Year 12 Sovereign Fund at scale, Year 30 cumulative impact (~$610K). Documents their political journey from skeptical beneficiaries to active supporters, taking 7-10 years and depending on visible benefit delivery, effective messaging, and opposition neutralization. Includes counterfactuals that could prevent conversion.</w:t>
      </w:r>
    </w:p>
    <w:p>
      <w:pPr>
        <w:spacing w:after="200" w:line="320"/>
        <w:jc w:val="both"/>
      </w:pPr>
      <w:r>
        <w:rPr>
          <w:rFonts w:ascii="Georgia" w:cs="Georgia" w:eastAsia="Georgia" w:hAnsi="Georgia"/>
          <w:b/>
          <w:bCs/>
          <w:sz w:val="22"/>
          <w:szCs w:val="22"/>
        </w:rPr>
        <w:t xml:space="preserve">Strategic synthesis. </w:t>
      </w:r>
      <w:r>
        <w:rPr>
          <w:rFonts w:ascii="Georgia" w:cs="Georgia" w:eastAsia="Georgia" w:hAnsi="Georgia"/>
          <w:color w:val="1A1A1A"/>
          <w:sz w:val="22"/>
          <w:szCs w:val="22"/>
        </w:rPr>
        <w:t xml:space="preserve">The four walkthroughs interlock. Read together, they produce strategic guidance with five components: implementation quality is upstream of everything else; per-citizen messaging is the central communication priority; working-class conversion above 60% is the highest-leverage strategic priority; geographic distribution must inform every strategic decision; multi-cycle commitment is non-negotiable. Coalition strategy that ignores any of these will produce passage without sustained support; strategy that addresses all five produces durable mandate.</w:t>
      </w:r>
    </w:p>
    <w:p>
      <w:pPr>
        <w:spacing w:after="200" w:line="320"/>
        <w:jc w:val="both"/>
      </w:pPr>
      <w:r>
        <w:rPr>
          <w:rFonts w:ascii="Georgia" w:cs="Georgia" w:eastAsia="Georgia" w:hAnsi="Georgia"/>
          <w:b/>
          <w:bCs/>
          <w:sz w:val="22"/>
          <w:szCs w:val="22"/>
        </w:rPr>
        <w:t xml:space="preserve">Why v2.7 rather than v2.6.x. </w:t>
      </w:r>
      <w:r>
        <w:rPr>
          <w:rFonts w:ascii="Georgia" w:cs="Georgia" w:eastAsia="Georgia" w:hAnsi="Georgia"/>
          <w:color w:val="1A1A1A"/>
          <w:sz w:val="22"/>
          <w:szCs w:val="22"/>
        </w:rPr>
        <w:t xml:space="preserve">Substantive new analytical layer that unpacks v2.6 from four interlocking angles. The walkthroughs aren't refinements to Coalition Mathematics; they're the substantive picture behind its summary numbers. Total package grows from 52 to 54 deliverables.</w:t>
      </w:r>
    </w:p>
    <w:p>
      <w:pPr>
        <w:spacing w:after="200" w:line="320"/>
        <w:jc w:val="both"/>
      </w:pPr>
      <w:r>
        <w:rPr>
          <w:rFonts w:ascii="Georgia" w:cs="Georgia" w:eastAsia="Georgia" w:hAnsi="Georgia"/>
          <w:b/>
          <w:bCs/>
          <w:sz w:val="22"/>
          <w:szCs w:val="22"/>
        </w:rPr>
        <w:t xml:space="preserve">What didn't change. </w:t>
      </w:r>
      <w:r>
        <w:rPr>
          <w:rFonts w:ascii="Georgia" w:cs="Georgia" w:eastAsia="Georgia" w:hAnsi="Georgia"/>
          <w:color w:val="1A1A1A"/>
          <w:sz w:val="22"/>
          <w:szCs w:val="22"/>
        </w:rPr>
        <w:t xml:space="preserve">All existing platform commitments remain unchanged. Coalition Mathematics (v2.6), Per-Citizen Benefits and Costs (v2.5), Path A broadband substantiation (v2.4), Universal Mental Health Access (v2.2), Civic Infrastructure framing, healthcare/childcare/education pillars, Sovereign Fund architecture — all unchanged. v2.7 is purely additive: deeper walkthroughs of the v2.6 coalition analysis.</w:t>
      </w:r>
    </w:p>
    <w:p>
      <w:pPr>
        <w:pStyle w:val="Heading2"/>
        <w:spacing w:after="160" w:before="360"/>
      </w:pPr>
      <w:r>
        <w:rPr>
          <w:rFonts w:ascii="Arial" w:cs="Arial" w:eastAsia="Arial" w:hAnsi="Arial"/>
          <w:b/>
          <w:bCs/>
          <w:color w:val="1F4E78"/>
          <w:sz w:val="28"/>
          <w:szCs w:val="28"/>
        </w:rPr>
        <w:t xml:space="preserve">Version 2.6 — May 4, 2026</w:t>
      </w:r>
    </w:p>
    <w:p>
      <w:pPr>
        <w:spacing w:after="200" w:line="320"/>
        <w:jc w:val="both"/>
      </w:pPr>
      <w:r>
        <w:rPr>
          <w:rFonts w:ascii="Georgia" w:cs="Georgia" w:eastAsia="Georgia" w:hAnsi="Georgia"/>
          <w:b/>
          <w:bCs/>
          <w:sz w:val="22"/>
          <w:szCs w:val="22"/>
        </w:rPr>
        <w:t xml:space="preserve">Coalition mathematics added. </w:t>
      </w:r>
      <w:r>
        <w:rPr>
          <w:rFonts w:ascii="Georgia" w:cs="Georgia" w:eastAsia="Georgia" w:hAnsi="Georgia"/>
          <w:color w:val="1A1A1A"/>
          <w:sz w:val="22"/>
          <w:szCs w:val="22"/>
        </w:rPr>
        <w:t xml:space="preserve">v2.6 adds the political viability translation that was the natural next analytical step after v2.5's per-citizen translation. The new Coalition Mathematics: Threshold and Projection Analysis document and companion model answer two related questions: what is the minimum supporter count the platform must achieve to actually pass and survive across election cycles, and what does the per-citizen benefit analysis project for supporter count after applying realistic voter turnout patterns and benefit-to-support conversion rates.</w:t>
      </w:r>
    </w:p>
    <w:p>
      <w:pPr>
        <w:spacing w:after="200" w:line="320"/>
        <w:jc w:val="both"/>
      </w:pPr>
      <w:r>
        <w:rPr>
          <w:rFonts w:ascii="Georgia" w:cs="Georgia" w:eastAsia="Georgia" w:hAnsi="Georgia"/>
          <w:b/>
          <w:bCs/>
          <w:sz w:val="22"/>
          <w:szCs w:val="22"/>
        </w:rPr>
        <w:t xml:space="preserve">Three thresholds matter, with different implications. </w:t>
      </w:r>
      <w:r>
        <w:rPr>
          <w:rFonts w:ascii="Georgia" w:cs="Georgia" w:eastAsia="Georgia" w:hAnsi="Georgia"/>
          <w:color w:val="1A1A1A"/>
          <w:sz w:val="22"/>
          <w:szCs w:val="22"/>
        </w:rPr>
        <w:t xml:space="preserve">Bare presidential majority requires ~78M voters (50%+1) but produces single-cycle vulnerability. Durable mandate requires ~90M voters (~58%) and is the realistic platform target — enough to survive litigation and opposition repeal pressure. Filibuster-proof Senate requires ~105M voters (~68%) and is achievable but not certain. The Affordable Care Act (passed at ~50% public support, vulnerable to repeal) and Medicare (passed at ~65%, durable) illustrate the difference between bare majority and durable mandate outcomes.</w:t>
      </w:r>
    </w:p>
    <w:p>
      <w:pPr>
        <w:spacing w:after="200" w:line="320"/>
        <w:jc w:val="both"/>
      </w:pPr>
      <w:r>
        <w:rPr>
          <w:rFonts w:ascii="Georgia" w:cs="Georgia" w:eastAsia="Georgia" w:hAnsi="Georgia"/>
          <w:b/>
          <w:bCs/>
          <w:sz w:val="22"/>
          <w:szCs w:val="22"/>
        </w:rPr>
        <w:t xml:space="preserve">Raw beneficiary count is structurally large. </w:t>
      </w:r>
      <w:r>
        <w:rPr>
          <w:rFonts w:ascii="Georgia" w:cs="Georgia" w:eastAsia="Georgia" w:hAnsi="Georgia"/>
          <w:color w:val="1A1A1A"/>
          <w:sz w:val="22"/>
          <w:szCs w:val="22"/>
        </w:rPr>
        <w:t xml:space="preserve">Approximately 220 million adults (85% of adult population) live in households that experience net positive impact at the Year 12 milestone. Approximately 2.6 million adults live in households with strong net negative impact. The beneficiary-to-cost-bearer ratio is approximately 83-to-1. If economic self-interest perfectly predicted political support, the platform would pass overwhelmingly. It does not.</w:t>
      </w:r>
    </w:p>
    <w:p>
      <w:pPr>
        <w:spacing w:after="200" w:line="320"/>
        <w:jc w:val="both"/>
      </w:pPr>
      <w:r>
        <w:rPr>
          <w:rFonts w:ascii="Georgia" w:cs="Georgia" w:eastAsia="Georgia" w:hAnsi="Georgia"/>
          <w:b/>
          <w:bCs/>
          <w:sz w:val="22"/>
          <w:szCs w:val="22"/>
        </w:rPr>
        <w:t xml:space="preserve">Realistic projection accounts for the gap. </w:t>
      </w:r>
      <w:r>
        <w:rPr>
          <w:rFonts w:ascii="Georgia" w:cs="Georgia" w:eastAsia="Georgia" w:hAnsi="Georgia"/>
          <w:color w:val="1A1A1A"/>
          <w:sz w:val="22"/>
          <w:szCs w:val="22"/>
        </w:rPr>
        <w:t xml:space="preserve">Applying voter turnout patterns (currently ~64% of eligible) and benefit-to-support conversion rates derived from research on voter behavior (working-class shift toward Republicans 2008-2024, ~89M non-voters in 2024, identity-based voting, opposition mobilization, distrust), the projected supporter count ranges from ~73M (pessimistic) to ~112M (maximum plausible) across four scenarios. Probability-weighted expected supporters: approximately 88-89 million voters, just at the durable mandate threshold.</w:t>
      </w:r>
    </w:p>
    <w:p>
      <w:pPr>
        <w:spacing w:after="200" w:line="320"/>
        <w:jc w:val="both"/>
      </w:pPr>
      <w:r>
        <w:rPr>
          <w:rFonts w:ascii="Georgia" w:cs="Georgia" w:eastAsia="Georgia" w:hAnsi="Georgia"/>
          <w:b/>
          <w:bCs/>
          <w:sz w:val="22"/>
          <w:szCs w:val="22"/>
        </w:rPr>
        <w:t xml:space="preserve">The platform is viable but not certain. </w:t>
      </w:r>
      <w:r>
        <w:rPr>
          <w:rFonts w:ascii="Georgia" w:cs="Georgia" w:eastAsia="Georgia" w:hAnsi="Georgia"/>
          <w:color w:val="1A1A1A"/>
          <w:sz w:val="22"/>
          <w:szCs w:val="22"/>
        </w:rPr>
        <w:t xml:space="preserve">Expected supporters at ~88M sits at the durable mandate level but with substantial uncertainty bands. Pessimistic scenarios fall below bare majority; optimistic scenarios exceed durable mandate but rarely reach filibuster-proof. The platform's natural coalition is structurally large but politically inactive; activating it to political reality is the work this analysis estimates the size and shape of.</w:t>
      </w:r>
    </w:p>
    <w:p>
      <w:pPr>
        <w:spacing w:after="200" w:line="320"/>
        <w:jc w:val="both"/>
      </w:pPr>
      <w:r>
        <w:rPr>
          <w:rFonts w:ascii="Georgia" w:cs="Georgia" w:eastAsia="Georgia" w:hAnsi="Georgia"/>
          <w:b/>
          <w:bCs/>
          <w:sz w:val="22"/>
          <w:szCs w:val="22"/>
        </w:rPr>
        <w:t xml:space="preserve">Highest-leverage variable: working-class conversion. </w:t>
      </w:r>
      <w:r>
        <w:rPr>
          <w:rFonts w:ascii="Georgia" w:cs="Georgia" w:eastAsia="Georgia" w:hAnsi="Georgia"/>
          <w:color w:val="1A1A1A"/>
          <w:sz w:val="22"/>
          <w:szCs w:val="22"/>
        </w:rPr>
        <w:t xml:space="preserve">Sensitivity analysis identifies working-class beneficiary conversion rate (currently ~50% baseline) as the variable with the largest potential impact on supporter count. Shifting this from 50% to 65% adds approximately 15 million supporters — enough to move from moderate scenario to optimistic scenario. This is also the variable where empirical research suggests the largest gap between economic self-interest and actual political behavior.</w:t>
      </w:r>
    </w:p>
    <w:p>
      <w:pPr>
        <w:spacing w:after="200" w:line="320"/>
        <w:jc w:val="both"/>
      </w:pPr>
      <w:r>
        <w:rPr>
          <w:rFonts w:ascii="Georgia" w:cs="Georgia" w:eastAsia="Georgia" w:hAnsi="Georgia"/>
          <w:b/>
          <w:bCs/>
          <w:sz w:val="22"/>
          <w:szCs w:val="22"/>
        </w:rPr>
        <w:t xml:space="preserve">Honest acknowledgments throughout. </w:t>
      </w:r>
      <w:r>
        <w:rPr>
          <w:rFonts w:ascii="Georgia" w:cs="Georgia" w:eastAsia="Georgia" w:hAnsi="Georgia"/>
          <w:color w:val="1A1A1A"/>
          <w:sz w:val="22"/>
          <w:szCs w:val="22"/>
        </w:rPr>
        <w:t xml:space="preserve">The supporter count is conservative: economic self-interest doesn't reliably predict voting; some beneficiaries oppose for ideological reasons; opposition will be well-funded; geographic distribution matters as much as numerical totals; multi-cycle organizational effort is required, not single-cycle campaigns. The numbers are honest projections, not predictions.</w:t>
      </w:r>
    </w:p>
    <w:p>
      <w:pPr>
        <w:spacing w:after="200" w:line="320"/>
        <w:jc w:val="both"/>
      </w:pPr>
      <w:r>
        <w:rPr>
          <w:rFonts w:ascii="Georgia" w:cs="Georgia" w:eastAsia="Georgia" w:hAnsi="Georgia"/>
          <w:b/>
          <w:bCs/>
          <w:sz w:val="22"/>
          <w:szCs w:val="22"/>
        </w:rPr>
        <w:t xml:space="preserve">Why v2.6 rather than v2.5.x. </w:t>
      </w:r>
      <w:r>
        <w:rPr>
          <w:rFonts w:ascii="Georgia" w:cs="Georgia" w:eastAsia="Georgia" w:hAnsi="Georgia"/>
          <w:color w:val="1A1A1A"/>
          <w:sz w:val="22"/>
          <w:szCs w:val="22"/>
        </w:rPr>
        <w:t xml:space="preserve">Substantive new analytical layer building on v2.5's per-citizen translation. The work moves from ‘what does the platform deliver’ to ‘is the natural coalition large enough to actually pass it.’ Coalition Mathematics is the political viability arithmetic that makes the platform's strategy specific. Total package grows from 50 to 52 deliverables.</w:t>
      </w:r>
    </w:p>
    <w:p>
      <w:pPr>
        <w:spacing w:after="200" w:line="320"/>
        <w:jc w:val="both"/>
      </w:pPr>
      <w:r>
        <w:rPr>
          <w:rFonts w:ascii="Georgia" w:cs="Georgia" w:eastAsia="Georgia" w:hAnsi="Georgia"/>
          <w:b/>
          <w:bCs/>
          <w:sz w:val="22"/>
          <w:szCs w:val="22"/>
        </w:rPr>
        <w:t xml:space="preserve">What didn't change. </w:t>
      </w:r>
      <w:r>
        <w:rPr>
          <w:rFonts w:ascii="Georgia" w:cs="Georgia" w:eastAsia="Georgia" w:hAnsi="Georgia"/>
          <w:color w:val="1A1A1A"/>
          <w:sz w:val="22"/>
          <w:szCs w:val="22"/>
        </w:rPr>
        <w:t xml:space="preserve">All existing platform commitments remain unchanged. Per-Citizen Benefits and Costs (v2.5), Path A broadband substantiation (v2.4), Universal Mental Health Access (v2.2), Civic Infrastructure framing, healthcare/childcare/education pillars, Sovereign Fund architecture — all unchanged. v2.6 is purely additive: a new analytical layer providing political viability arithmetic on top of the per-citizen analysis.</w:t>
      </w:r>
    </w:p>
    <w:p>
      <w:pPr>
        <w:pStyle w:val="Heading2"/>
        <w:spacing w:after="160" w:before="360"/>
      </w:pPr>
      <w:r>
        <w:rPr>
          <w:rFonts w:ascii="Arial" w:cs="Arial" w:eastAsia="Arial" w:hAnsi="Arial"/>
          <w:b/>
          <w:bCs/>
          <w:color w:val="1F4E78"/>
          <w:sz w:val="28"/>
          <w:szCs w:val="28"/>
        </w:rPr>
        <w:t xml:space="preserve">Version 2.5 — May 4, 2026</w:t>
      </w:r>
    </w:p>
    <w:p>
      <w:pPr>
        <w:spacing w:after="200" w:line="320"/>
        <w:jc w:val="both"/>
      </w:pPr>
      <w:r>
        <w:rPr>
          <w:rFonts w:ascii="Georgia" w:cs="Georgia" w:eastAsia="Georgia" w:hAnsi="Georgia"/>
          <w:b/>
          <w:bCs/>
          <w:sz w:val="22"/>
          <w:szCs w:val="22"/>
        </w:rPr>
        <w:t xml:space="preserve">Per-citizen translation layer added. </w:t>
      </w:r>
      <w:r>
        <w:rPr>
          <w:rFonts w:ascii="Georgia" w:cs="Georgia" w:eastAsia="Georgia" w:hAnsi="Georgia"/>
          <w:color w:val="1A1A1A"/>
          <w:sz w:val="22"/>
          <w:szCs w:val="22"/>
        </w:rPr>
        <w:t xml:space="preserve">v2.5 adds the citizen-facing translation that the platform's substantive work has been missing. The new Per-Citizen Benefits and Costs Across the Deployment Timeline document and companion model translate the platform's federal-program-scale numbers into per-household impact at six deployment milestones (Year 1 launch, Year 5 Path A expansion, Year 7 universal Path A, Year 12 Sovereign Fund at scale, Year 20 pillars mature, Year 30 steady state) for seven distinct household types spanning the distribution of American economic experience.</w:t>
      </w:r>
    </w:p>
    <w:p>
      <w:pPr>
        <w:spacing w:after="200" w:line="320"/>
        <w:jc w:val="both"/>
      </w:pPr>
      <w:r>
        <w:rPr>
          <w:rFonts w:ascii="Georgia" w:cs="Georgia" w:eastAsia="Georgia" w:hAnsi="Georgia"/>
          <w:b/>
          <w:bCs/>
          <w:sz w:val="22"/>
          <w:szCs w:val="22"/>
        </w:rPr>
        <w:t xml:space="preserve">What citizens actually receive at each milestone. </w:t>
      </w:r>
      <w:r>
        <w:rPr>
          <w:rFonts w:ascii="Georgia" w:cs="Georgia" w:eastAsia="Georgia" w:hAnsi="Georgia"/>
          <w:color w:val="1A1A1A"/>
          <w:sz w:val="22"/>
          <w:szCs w:val="22"/>
        </w:rPr>
        <w:t xml:space="preserve">The document walks through what's been deployed at each milestone, what benefits a typical household receives, what the platform costs that household in net new federal taxes, and the net impact on the household's bottom line. Average household net benefit grows from approximately +$1,300/year (Year 1) to approximately +$19,500/year (Year 30); benefits grow as more pillars come online and the Sovereign Fund's coverage scales from 5% (Year 1) to 65% (Year 30) of platform commitments.</w:t>
      </w:r>
    </w:p>
    <w:p>
      <w:pPr>
        <w:spacing w:after="200" w:line="320"/>
        <w:jc w:val="both"/>
      </w:pPr>
      <w:r>
        <w:rPr>
          <w:rFonts w:ascii="Georgia" w:cs="Georgia" w:eastAsia="Georgia" w:hAnsi="Georgia"/>
          <w:b/>
          <w:bCs/>
          <w:sz w:val="22"/>
          <w:szCs w:val="22"/>
        </w:rPr>
        <w:t xml:space="preserve">Seven household types in detail. </w:t>
      </w:r>
      <w:r>
        <w:rPr>
          <w:rFonts w:ascii="Georgia" w:cs="Georgia" w:eastAsia="Georgia" w:hAnsi="Georgia"/>
          <w:color w:val="1A1A1A"/>
          <w:sz w:val="22"/>
          <w:szCs w:val="22"/>
        </w:rPr>
        <w:t xml:space="preserve">Low-income single ($35K), middle-income single ($75K), low-income family with kids ($55K), middle-income family with kids ($110K), upper-middle family with kids ($200K), retiree on fixed income ($45K), and wealthy household ($500K, $5M+ assets). Bottom 80% of income distribution receives net positive impact at every milestone; wealthy households (top 1-2% by net worth) experience net negative impact through wealth tax exposure but receive the same universal services as everyone else. The platform's structurally-progressive funding architecture is documented honestly.</w:t>
      </w:r>
    </w:p>
    <w:p>
      <w:pPr>
        <w:spacing w:after="200" w:line="320"/>
        <w:jc w:val="both"/>
      </w:pPr>
      <w:r>
        <w:rPr>
          <w:rFonts w:ascii="Georgia" w:cs="Georgia" w:eastAsia="Georgia" w:hAnsi="Georgia"/>
          <w:b/>
          <w:bCs/>
          <w:sz w:val="22"/>
          <w:szCs w:val="22"/>
        </w:rPr>
        <w:t xml:space="preserve">30-year cumulative impact. </w:t>
      </w:r>
      <w:r>
        <w:rPr>
          <w:rFonts w:ascii="Georgia" w:cs="Georgia" w:eastAsia="Georgia" w:hAnsi="Georgia"/>
          <w:color w:val="1A1A1A"/>
          <w:sz w:val="22"/>
          <w:szCs w:val="22"/>
        </w:rPr>
        <w:t xml:space="preserve">Lifetime impact for typical Americans is substantial: low-income family with kids ~$580-650K cumulative; middle-income family with kids ~$520-580K cumulative; middle-income single ~$235K; retiree ~$290K; wealthy household ~-$540K. Sufficient to fundamentally alter financial security, debt position, and ability to weather economic shocks for the natural coalition; substantial wealth tax exposure for the top 1-2%.</w:t>
      </w:r>
    </w:p>
    <w:p>
      <w:pPr>
        <w:spacing w:after="200" w:line="320"/>
        <w:jc w:val="both"/>
      </w:pPr>
      <w:r>
        <w:rPr>
          <w:rFonts w:ascii="Georgia" w:cs="Georgia" w:eastAsia="Georgia" w:hAnsi="Georgia"/>
          <w:b/>
          <w:bCs/>
          <w:sz w:val="22"/>
          <w:szCs w:val="22"/>
        </w:rPr>
        <w:t xml:space="preserve">Per-Citizen Cost-Benefit Model. </w:t>
      </w:r>
      <w:r>
        <w:rPr>
          <w:rFonts w:ascii="Georgia" w:cs="Georgia" w:eastAsia="Georgia" w:hAnsi="Georgia"/>
          <w:color w:val="1A1A1A"/>
          <w:sz w:val="22"/>
          <w:szCs w:val="22"/>
        </w:rPr>
        <w:t xml:space="preserve">Companion mathematical model with 11 sheets and 272 formulas covering Assumptions, Pillar Costs by Milestone, Sovereign Fund Coverage, Per-Capita Federal Cost (by income decile), Citizen Benefits by Category, Status Quo Spending Baseline, Household Type Detail (7 types × 6 milestones), Net Benefit Summary, Lifetime Cumulative, and Dashboard. All assumptions editable for sensitivity testing.</w:t>
      </w:r>
    </w:p>
    <w:p>
      <w:pPr>
        <w:spacing w:after="200" w:line="320"/>
        <w:jc w:val="both"/>
      </w:pPr>
      <w:r>
        <w:rPr>
          <w:rFonts w:ascii="Georgia" w:cs="Georgia" w:eastAsia="Georgia" w:hAnsi="Georgia"/>
          <w:b/>
          <w:bCs/>
          <w:sz w:val="22"/>
          <w:szCs w:val="22"/>
        </w:rPr>
        <w:t xml:space="preserve">Honest acknowledgments throughout. </w:t>
      </w:r>
      <w:r>
        <w:rPr>
          <w:rFonts w:ascii="Georgia" w:cs="Georgia" w:eastAsia="Georgia" w:hAnsi="Georgia"/>
          <w:color w:val="1A1A1A"/>
          <w:sz w:val="22"/>
          <w:szCs w:val="22"/>
        </w:rPr>
        <w:t xml:space="preserve">The numbers assume successful platform implementation — conditional on success, not predictions of certain success. Sovereign Fund coverage depends on real returns of 4-6% annually. Healthcare savings use conservative midpoints (real-world experience suggests larger savings possible). Childcare benefits concentrate in specific years for households with young children. Geographic variance is substantial. Wealth tax impact is highly concentrated at the top 0.1%. Cumulative numbers don't apply present-value discounting. Throughout, conservative midpoint estimates rather than maximum-optimistic projections.</w:t>
      </w:r>
    </w:p>
    <w:p>
      <w:pPr>
        <w:spacing w:after="200" w:line="320"/>
        <w:jc w:val="both"/>
      </w:pPr>
      <w:r>
        <w:rPr>
          <w:rFonts w:ascii="Georgia" w:cs="Georgia" w:eastAsia="Georgia" w:hAnsi="Georgia"/>
          <w:b/>
          <w:bCs/>
          <w:sz w:val="22"/>
          <w:szCs w:val="22"/>
        </w:rPr>
        <w:t xml:space="preserve">Why v2.5 rather than v2.4.x. </w:t>
      </w:r>
      <w:r>
        <w:rPr>
          <w:rFonts w:ascii="Georgia" w:cs="Georgia" w:eastAsia="Georgia" w:hAnsi="Georgia"/>
          <w:color w:val="1A1A1A"/>
          <w:sz w:val="22"/>
          <w:szCs w:val="22"/>
        </w:rPr>
        <w:t xml:space="preserve">Substantive new analytical synthesis across all platform pillars adding the citizen-level translation. The document and model are not refinements to existing work but a new layer of analysis that connects federal-program-scale to citizen experience. Total package grows from 48 to 50 deliverables.</w:t>
      </w:r>
    </w:p>
    <w:p>
      <w:pPr>
        <w:spacing w:after="200" w:line="320"/>
        <w:jc w:val="both"/>
      </w:pPr>
      <w:r>
        <w:rPr>
          <w:rFonts w:ascii="Georgia" w:cs="Georgia" w:eastAsia="Georgia" w:hAnsi="Georgia"/>
          <w:b/>
          <w:bCs/>
          <w:sz w:val="22"/>
          <w:szCs w:val="22"/>
        </w:rPr>
        <w:t xml:space="preserve">What didn't change. </w:t>
      </w:r>
      <w:r>
        <w:rPr>
          <w:rFonts w:ascii="Georgia" w:cs="Georgia" w:eastAsia="Georgia" w:hAnsi="Georgia"/>
          <w:color w:val="1A1A1A"/>
          <w:sz w:val="22"/>
          <w:szCs w:val="22"/>
        </w:rPr>
        <w:t xml:space="preserve">All existing platform commitments remain unchanged. Path A broadband substantiation (v2.4), Universal Mental Health Access (v2.2), Civic Infrastructure framing, healthcare/childcare/education pillars, Sovereign Fund architecture — all unchanged. v2.5 is purely additive: a new translation layer on top of the existing platform.</w:t>
      </w:r>
    </w:p>
    <w:p>
      <w:pPr>
        <w:spacing w:after="200" w:line="320"/>
        <w:jc w:val="both"/>
      </w:pPr>
      <w:r>
        <w:rPr>
          <w:rFonts w:ascii="Georgia" w:cs="Georgia" w:eastAsia="Georgia" w:hAnsi="Georgia"/>
          <w:b/>
          <w:bCs/>
          <w:sz w:val="22"/>
          <w:szCs w:val="22"/>
        </w:rPr>
        <w:t xml:space="preserve">Political coalition implications documented. </w:t>
      </w:r>
      <w:r>
        <w:rPr>
          <w:rFonts w:ascii="Georgia" w:cs="Georgia" w:eastAsia="Georgia" w:hAnsi="Georgia"/>
          <w:color w:val="1A1A1A"/>
          <w:sz w:val="22"/>
          <w:szCs w:val="22"/>
        </w:rPr>
        <w:t xml:space="preserve">The per-citizen analysis identifies five distinct groups whose net interest is positive under platform deployment (bottom 80% of income distribution, families with children, households with chronic health conditions, rural Americans, younger workers) and one group whose net interest is negative (top 1-2% of households by net worth, approximately 1.5-2 million households). The platform's political argument, supported by the per-citizen analysis, is grounded in concrete citizen experience rather than abstract national-scale numbers.</w:t>
      </w:r>
    </w:p>
    <w:p>
      <w:pPr>
        <w:pStyle w:val="Heading2"/>
        <w:spacing w:after="160" w:before="360"/>
      </w:pPr>
      <w:r>
        <w:rPr>
          <w:rFonts w:ascii="Arial" w:cs="Arial" w:eastAsia="Arial" w:hAnsi="Arial"/>
          <w:b/>
          <w:bCs/>
          <w:color w:val="1F4E78"/>
          <w:sz w:val="28"/>
          <w:szCs w:val="28"/>
        </w:rPr>
        <w:t xml:space="preserve">Version 2.4 — May 4, 2026</w:t>
      </w:r>
    </w:p>
    <w:p>
      <w:pPr>
        <w:spacing w:after="200" w:line="320"/>
        <w:jc w:val="both"/>
      </w:pPr>
      <w:r>
        <w:rPr>
          <w:rFonts w:ascii="Georgia" w:cs="Georgia" w:eastAsia="Georgia" w:hAnsi="Georgia"/>
          <w:b/>
          <w:bCs/>
          <w:sz w:val="22"/>
          <w:szCs w:val="22"/>
        </w:rPr>
        <w:t xml:space="preserve">Path A committed for Universal Broadband. </w:t>
      </w:r>
      <w:r>
        <w:rPr>
          <w:rFonts w:ascii="Georgia" w:cs="Georgia" w:eastAsia="Georgia" w:hAnsi="Georgia"/>
          <w:color w:val="1A1A1A"/>
          <w:sz w:val="22"/>
          <w:szCs w:val="22"/>
        </w:rPr>
        <w:t xml:space="preserve">Following the Two Paths Compared analysis and the Modernize American Civic Engagement integrated argument, v2.4 commits the platform to Path A: free universal basic broadband (100/20 Mbps initially, evolving to 1 Gbps symmetric by 2040) at no cost to households, with the federal government paying providers wholesale and premium tiers remaining private market. Public libraries serve as the universal backstop ensuring 100% access. The decision is more affordable in total economic resources (Path A ~$71B vs Path B ~$123B/year) and more defensible because it provides citizens with structural access to the internet rather than means-tested subsidy.</w:t>
      </w:r>
    </w:p>
    <w:p>
      <w:pPr>
        <w:spacing w:after="200" w:line="320"/>
        <w:jc w:val="both"/>
      </w:pPr>
      <w:r>
        <w:rPr>
          <w:rFonts w:ascii="Georgia" w:cs="Georgia" w:eastAsia="Georgia" w:hAnsi="Georgia"/>
          <w:b/>
          <w:bCs/>
          <w:sz w:val="22"/>
          <w:szCs w:val="22"/>
        </w:rPr>
        <w:t xml:space="preserve">Universal Broadband Access Substantiation — substantive operational depth. </w:t>
      </w:r>
      <w:r>
        <w:rPr>
          <w:rFonts w:ascii="Georgia" w:cs="Georgia" w:eastAsia="Georgia" w:hAnsi="Georgia"/>
          <w:color w:val="1A1A1A"/>
          <w:sz w:val="22"/>
          <w:szCs w:val="22"/>
        </w:rPr>
        <w:t xml:space="preserve">v2.4 substantiates Path A with depth comparable to the Universal Mental Health Access Substantiation. The new Universal Broadband Access Substantiation document (~30 pages) covers Service Architecture and Universal Service Standards, Technology Mix (60% urban fiber, 25% rural cooperative fiber, 9% Fixed Wireless Access, 5% LEO satellite, 1% public WiFi), Workforce Expansion Mathematics (65K → 165K peak fiber installers via coordinated training pipeline), Federal Contracting Architecture (per-connection wholesale payment, four-tier provider preference favoring cooperatives and municipal authorities), Regulatory Reform required (FCC mapping reform, pole attachment one-touch make-ready, USF integration, BEAD integration), Buildout Timeline (Year 1-7 to 100% coverage, ~$258B cumulative through Year 7), Stress Tests (5 scenarios all within envelope), Cross-Pillar Effects, Industry Transition, and Honest Acknowledgments.</w:t>
      </w:r>
    </w:p>
    <w:p>
      <w:pPr>
        <w:spacing w:after="200" w:line="320"/>
        <w:jc w:val="both"/>
      </w:pPr>
      <w:r>
        <w:rPr>
          <w:rFonts w:ascii="Georgia" w:cs="Georgia" w:eastAsia="Georgia" w:hAnsi="Georgia"/>
          <w:b/>
          <w:bCs/>
          <w:sz w:val="22"/>
          <w:szCs w:val="22"/>
        </w:rPr>
        <w:t xml:space="preserve">Universal Broadband Access Model — substantive operational arithmetic. </w:t>
      </w:r>
      <w:r>
        <w:rPr>
          <w:rFonts w:ascii="Georgia" w:cs="Georgia" w:eastAsia="Georgia" w:hAnsi="Georgia"/>
          <w:color w:val="1A1A1A"/>
          <w:sz w:val="22"/>
          <w:szCs w:val="22"/>
        </w:rPr>
        <w:t xml:space="preserve">Companion mathematical model with 10 sheets and 143 formulas: README, Assumptions, Service Standards, Technology Mix, Workforce Math, Federal Contracting, Buildout Timeline, Cross-Pillar Effects, Stress Tests, Dashboard. Annual federal cost at full deployment: ~$50B. 30-year cumulative federal investment: ~$1.5T. Coverage: 100% by Year 7.</w:t>
      </w:r>
    </w:p>
    <w:p>
      <w:pPr>
        <w:spacing w:after="200" w:line="320"/>
        <w:jc w:val="both"/>
      </w:pPr>
      <w:r>
        <w:rPr>
          <w:rFonts w:ascii="Georgia" w:cs="Georgia" w:eastAsia="Georgia" w:hAnsi="Georgia"/>
          <w:b/>
          <w:bCs/>
          <w:sz w:val="22"/>
          <w:szCs w:val="22"/>
        </w:rPr>
        <w:t xml:space="preserve">Civic Infrastructure framing and model updated for Path A. </w:t>
      </w:r>
      <w:r>
        <w:rPr>
          <w:rFonts w:ascii="Georgia" w:cs="Georgia" w:eastAsia="Georgia" w:hAnsi="Georgia"/>
          <w:color w:val="1A1A1A"/>
          <w:sz w:val="22"/>
          <w:szCs w:val="22"/>
        </w:rPr>
        <w:t xml:space="preserve">The Civic Infrastructure architectural framing (item 33) and model (item 34) updated to reflect Path A commitment. Universal Broadband component cost shifts from $15-20B to $38-68B/yr (mid $53B). Pillar total shifts from $215-325B/yr to $252-357B/yr (mid $282B), approximately 0.95% of GDP — still within the platform's funding envelope. 30-year cumulative pillar investment: $6.71T.</w:t>
      </w:r>
    </w:p>
    <w:p>
      <w:pPr>
        <w:spacing w:after="200" w:line="320"/>
        <w:jc w:val="both"/>
      </w:pPr>
      <w:r>
        <w:rPr>
          <w:rFonts w:ascii="Georgia" w:cs="Georgia" w:eastAsia="Georgia" w:hAnsi="Georgia"/>
          <w:b/>
          <w:bCs/>
          <w:sz w:val="22"/>
          <w:szCs w:val="22"/>
        </w:rPr>
        <w:t xml:space="preserve">Decision-supporting analytical documents added. </w:t>
      </w:r>
      <w:r>
        <w:rPr>
          <w:rFonts w:ascii="Georgia" w:cs="Georgia" w:eastAsia="Georgia" w:hAnsi="Georgia"/>
          <w:color w:val="1A1A1A"/>
          <w:sz w:val="22"/>
          <w:szCs w:val="22"/>
        </w:rPr>
        <w:t xml:space="preserve">Six v2.3-era analytical documents that informed the Path A decision are formally included in v2.4: Free Universal Broadband Cost Analysis + Cost Model (foundational cost economics), Universal Broadband Two Paths Compared + Model (structural decision analysis), Modernize American Civic Engagement Integrated Argument + Cost Model (the integrated case for Path A pairing it with civic platform and return-free filing). Together these establish the analytical chain from question (‘how can universal internet access be guaranteed?’) to commitment (Path A) to substantiation (operational design).</w:t>
      </w:r>
    </w:p>
    <w:p>
      <w:pPr>
        <w:spacing w:after="200" w:line="320"/>
        <w:jc w:val="both"/>
      </w:pPr>
      <w:r>
        <w:rPr>
          <w:rFonts w:ascii="Georgia" w:cs="Georgia" w:eastAsia="Georgia" w:hAnsi="Georgia"/>
          <w:b/>
          <w:bCs/>
          <w:sz w:val="22"/>
          <w:szCs w:val="22"/>
        </w:rPr>
        <w:t xml:space="preserve">Modernize Civic Engagement integrated argument scopes future work. </w:t>
      </w:r>
      <w:r>
        <w:rPr>
          <w:rFonts w:ascii="Georgia" w:cs="Georgia" w:eastAsia="Georgia" w:hAnsi="Georgia"/>
          <w:color w:val="1A1A1A"/>
          <w:sz w:val="22"/>
          <w:szCs w:val="22"/>
        </w:rPr>
        <w:t xml:space="preserve">The integrated argument document scopes the eventual Civic Technology component substantiation work for v2.5 or later: federal civic communication platform (Estonia/Singapore-style unified citizen-government interface), return-free tax filing (36+ OECD countries already do this), federal identity infrastructure (privacy-preserving, federated), library universal access (deliberate two-channel architecture). Combined federal cost expansion ~$42B/year produces ~$133B/year citizen savings; net positive economic impact ~$91B/year; citizen savings 3.16x federal cost.</w:t>
      </w:r>
    </w:p>
    <w:p>
      <w:pPr>
        <w:spacing w:after="200" w:line="320"/>
        <w:jc w:val="both"/>
      </w:pPr>
      <w:r>
        <w:rPr>
          <w:rFonts w:ascii="Georgia" w:cs="Georgia" w:eastAsia="Georgia" w:hAnsi="Georgia"/>
          <w:b/>
          <w:bCs/>
          <w:sz w:val="22"/>
          <w:szCs w:val="22"/>
        </w:rPr>
        <w:t xml:space="preserve">Why v2.4 rather than v2.3.x. </w:t>
      </w:r>
      <w:r>
        <w:rPr>
          <w:rFonts w:ascii="Georgia" w:cs="Georgia" w:eastAsia="Georgia" w:hAnsi="Georgia"/>
          <w:color w:val="1A1A1A"/>
          <w:sz w:val="22"/>
          <w:szCs w:val="22"/>
        </w:rPr>
        <w:t xml:space="preserve">Substantive policy commitment (Path A) plus substantive operational substantiation (Universal Broadband Access depth) plus six analytical documents formally added to the package. Total package grows from 40 to 48 deliverables. The pillar's universal broadband component moves from concept to operationally-defined.</w:t>
      </w:r>
    </w:p>
    <w:p>
      <w:pPr>
        <w:spacing w:after="200" w:line="320"/>
        <w:jc w:val="both"/>
      </w:pPr>
      <w:r>
        <w:rPr>
          <w:rFonts w:ascii="Georgia" w:cs="Georgia" w:eastAsia="Georgia" w:hAnsi="Georgia"/>
          <w:b/>
          <w:bCs/>
          <w:sz w:val="22"/>
          <w:szCs w:val="22"/>
        </w:rPr>
        <w:t xml:space="preserve">What didn't change. </w:t>
      </w:r>
      <w:r>
        <w:rPr>
          <w:rFonts w:ascii="Georgia" w:cs="Georgia" w:eastAsia="Georgia" w:hAnsi="Georgia"/>
          <w:color w:val="1A1A1A"/>
          <w:sz w:val="22"/>
          <w:szCs w:val="22"/>
        </w:rPr>
        <w:t xml:space="preserve">All other pillars remain at their previous version. The integrated argument's civic platform and return-free filing components are scoped but not yet substantiated; that work is committed for v2.5 or later. Other Civic Infrastructure components (Transportation, Water and Sewer, Public Spaces — except library backstop integration, Energy Grid) remain at architectural framing depth pending future substantiation.</w:t>
      </w:r>
    </w:p>
    <w:p>
      <w:pPr>
        <w:pStyle w:val="Heading2"/>
        <w:spacing w:after="160" w:before="360"/>
      </w:pPr>
      <w:r>
        <w:rPr>
          <w:rFonts w:ascii="Arial" w:cs="Arial" w:eastAsia="Arial" w:hAnsi="Arial"/>
          <w:b/>
          <w:bCs/>
          <w:color w:val="1F4E78"/>
          <w:sz w:val="28"/>
          <w:szCs w:val="28"/>
        </w:rPr>
        <w:t xml:space="preserve">Version 2.3 — May 4, 2026</w:t>
      </w:r>
    </w:p>
    <w:p>
      <w:pPr>
        <w:spacing w:after="200" w:line="320"/>
        <w:jc w:val="both"/>
      </w:pPr>
      <w:r>
        <w:rPr>
          <w:rFonts w:ascii="Georgia" w:cs="Georgia" w:eastAsia="Georgia" w:hAnsi="Georgia"/>
          <w:b/>
          <w:bCs/>
          <w:sz w:val="22"/>
          <w:szCs w:val="22"/>
        </w:rPr>
        <w:t xml:space="preserve">Civic Infrastructure pillar architectural framing established. </w:t>
      </w:r>
      <w:r>
        <w:rPr>
          <w:rFonts w:ascii="Georgia" w:cs="Georgia" w:eastAsia="Georgia" w:hAnsi="Georgia"/>
          <w:color w:val="1A1A1A"/>
          <w:sz w:val="22"/>
          <w:szCs w:val="22"/>
        </w:rPr>
        <w:t xml:space="preserve">Following a citizen-originated question about how universal internet access can be guaranteed everywhere in America, v2.3 establishes the architectural framing for the Civic Infrastructure pillar. The pillar moves from concept-level commitment to architecturally-defined status, with substantive component-level work to follow in subsequent versions.</w:t>
      </w:r>
    </w:p>
    <w:p>
      <w:pPr>
        <w:spacing w:after="200" w:line="320"/>
        <w:jc w:val="both"/>
      </w:pPr>
      <w:r>
        <w:rPr>
          <w:rFonts w:ascii="Georgia" w:cs="Georgia" w:eastAsia="Georgia" w:hAnsi="Georgia"/>
          <w:b/>
          <w:bCs/>
          <w:sz w:val="22"/>
          <w:szCs w:val="22"/>
        </w:rPr>
        <w:t xml:space="preserve">Six components defined. </w:t>
      </w:r>
      <w:r>
        <w:rPr>
          <w:rFonts w:ascii="Georgia" w:cs="Georgia" w:eastAsia="Georgia" w:hAnsi="Georgia"/>
          <w:color w:val="1A1A1A"/>
          <w:sz w:val="22"/>
          <w:szCs w:val="22"/>
        </w:rPr>
        <w:t xml:space="preserve">The pillar covers Universal Broadband (lead component, scheduled for v2.4 substantiation), Transportation Infrastructure (roads, bridges, transit, freight rail), Water and Sewer Systems (drinking water, sewer, stormwater, lead pipe replacement), Public Spaces (libraries, parks, community centers), Civic Technology (government digital services and identity infrastructure), and Energy Grid Modernization (transmission and distribution distinct from generation). Each component is articulated with scope, cost estimate, buildout phase, universal service standards, and substantiation roadmap.</w:t>
      </w:r>
    </w:p>
    <w:p>
      <w:pPr>
        <w:spacing w:after="200" w:line="320"/>
        <w:jc w:val="both"/>
      </w:pPr>
      <w:r>
        <w:rPr>
          <w:rFonts w:ascii="Georgia" w:cs="Georgia" w:eastAsia="Georgia" w:hAnsi="Georgia"/>
          <w:b/>
          <w:bCs/>
          <w:sz w:val="22"/>
          <w:szCs w:val="22"/>
        </w:rPr>
        <w:t xml:space="preserve">Funding mechanism articulated. </w:t>
      </w:r>
      <w:r>
        <w:rPr>
          <w:rFonts w:ascii="Georgia" w:cs="Georgia" w:eastAsia="Georgia" w:hAnsi="Georgia"/>
          <w:color w:val="1A1A1A"/>
          <w:sz w:val="22"/>
          <w:szCs w:val="22"/>
        </w:rPr>
        <w:t xml:space="preserve">Total annual federal investment at full deployment: approximately $215-325B (mid estimate $270B), or 0.7-1.1% of GDP — within historical precedent (Eisenhower interstate program peaked at 0.5% of GDP for road construction alone). Funding sources at steady state: Sovereign Fund disbursements 55% (~$148B), consolidated existing federal infrastructure spending 30% (~$81B), state and local cost share 15% (~$40B). The Sovereign Fund disbursements make this scale achievable without new tax revenue or sustained additional borrowing.</w:t>
      </w:r>
    </w:p>
    <w:p>
      <w:pPr>
        <w:spacing w:after="200" w:line="320"/>
        <w:jc w:val="both"/>
      </w:pPr>
      <w:r>
        <w:rPr>
          <w:rFonts w:ascii="Georgia" w:cs="Georgia" w:eastAsia="Georgia" w:hAnsi="Georgia"/>
          <w:b/>
          <w:bCs/>
          <w:sz w:val="22"/>
          <w:szCs w:val="22"/>
        </w:rPr>
        <w:t xml:space="preserve">Phased buildout timeline. </w:t>
      </w:r>
      <w:r>
        <w:rPr>
          <w:rFonts w:ascii="Georgia" w:cs="Georgia" w:eastAsia="Georgia" w:hAnsi="Georgia"/>
          <w:color w:val="1A1A1A"/>
          <w:sz w:val="22"/>
          <w:szCs w:val="22"/>
        </w:rPr>
        <w:t xml:space="preserve">Phase 1 (Years 1-5, ~$94B/yr): foundation governance + acute gap closure (broadband completion, lead pipes, bridge safety, library baseline, civic tech baseline). Phase 2 (Years 6-15, ~$189B/yr): system-wide modernization (transportation backlog, water systems, civic tech expansion). Phase 3 (Years 16-30, $270B/yr): long-horizon investment (energy grid, transformative transit, climate adaptation). Total 30-year federal investment: approximately $6.4T.</w:t>
      </w:r>
    </w:p>
    <w:p>
      <w:pPr>
        <w:spacing w:after="200" w:line="320"/>
        <w:jc w:val="both"/>
      </w:pPr>
      <w:r>
        <w:rPr>
          <w:rFonts w:ascii="Georgia" w:cs="Georgia" w:eastAsia="Georgia" w:hAnsi="Georgia"/>
          <w:b/>
          <w:bCs/>
          <w:sz w:val="22"/>
          <w:szCs w:val="22"/>
        </w:rPr>
        <w:t xml:space="preserve">Cross-pillar dependencies explicit. </w:t>
      </w:r>
      <w:r>
        <w:rPr>
          <w:rFonts w:ascii="Georgia" w:cs="Georgia" w:eastAsia="Georgia" w:hAnsi="Georgia"/>
          <w:color w:val="1A1A1A"/>
          <w:sz w:val="22"/>
          <w:szCs w:val="22"/>
        </w:rPr>
        <w:t xml:space="preserve">Civic Infrastructure is foundational to multiple other pillars. Critical dependencies: Universal Broadband enables Mental Health (telehealth as workforce capacity multiplier), Water and Energy Grid enable Healthcare delivery, Public Spaces enable Education delivery (libraries as Sovereign Education Fund nodes), Civic Technology enables Healthcare administration. The pillar's success isn't optional for the platform; it's prerequisite to several other pillars functioning as designed.</w:t>
      </w:r>
    </w:p>
    <w:p>
      <w:pPr>
        <w:spacing w:after="200" w:line="320"/>
        <w:jc w:val="both"/>
      </w:pPr>
      <w:r>
        <w:rPr>
          <w:rFonts w:ascii="Georgia" w:cs="Georgia" w:eastAsia="Georgia" w:hAnsi="Georgia"/>
          <w:b/>
          <w:bCs/>
          <w:sz w:val="22"/>
          <w:szCs w:val="22"/>
        </w:rPr>
        <w:t xml:space="preserve">New analytical framing document: 05_Civic_Infrastructure_Architectural_Framing.docx. </w:t>
      </w:r>
      <w:r>
        <w:rPr>
          <w:rFonts w:ascii="Georgia" w:cs="Georgia" w:eastAsia="Georgia" w:hAnsi="Georgia"/>
          <w:color w:val="1A1A1A"/>
          <w:sz w:val="22"/>
          <w:szCs w:val="22"/>
        </w:rPr>
        <w:t xml:space="preserve">Approximately 25 pages covering definition (what civic infrastructure means in this platform with three-element test), the six components with scope and substantiation roadmap, funding mechanism with cost estimate breakdown, governance architecture (federal Civic Infrastructure Authority + state and local roles + universal service standards), 30-year phased buildout timeline, cross-pillar dependency matrix, and honest acknowledgments of what the framing establishes vs what component substantiation must resolve.</w:t>
      </w:r>
    </w:p>
    <w:p>
      <w:pPr>
        <w:spacing w:after="200" w:line="320"/>
        <w:jc w:val="both"/>
      </w:pPr>
      <w:r>
        <w:rPr>
          <w:rFonts w:ascii="Georgia" w:cs="Georgia" w:eastAsia="Georgia" w:hAnsi="Georgia"/>
          <w:b/>
          <w:bCs/>
          <w:sz w:val="22"/>
          <w:szCs w:val="22"/>
        </w:rPr>
        <w:t xml:space="preserve">New mathematical model: 04_Civic_Infrastructure_Model.xlsx. </w:t>
      </w:r>
      <w:r>
        <w:rPr>
          <w:rFonts w:ascii="Georgia" w:cs="Georgia" w:eastAsia="Georgia" w:hAnsi="Georgia"/>
          <w:color w:val="1A1A1A"/>
          <w:sz w:val="22"/>
          <w:szCs w:val="22"/>
        </w:rPr>
        <w:t xml:space="preserve">Seven sheets including README, Assumptions, Components, Funding Sources, Buildout Timeline, Cross-Pillar Dependencies (matrix), and Dashboard. 143 formulas with zero errors. Model is at architectural framing depth, comparable to where the mental health model was before its v2.2 expansion.</w:t>
      </w:r>
    </w:p>
    <w:p>
      <w:pPr>
        <w:spacing w:after="200" w:line="320"/>
        <w:jc w:val="both"/>
      </w:pPr>
      <w:r>
        <w:rPr>
          <w:rFonts w:ascii="Georgia" w:cs="Georgia" w:eastAsia="Georgia" w:hAnsi="Georgia"/>
          <w:b/>
          <w:bCs/>
          <w:sz w:val="22"/>
          <w:szCs w:val="22"/>
        </w:rPr>
        <w:t xml:space="preserve">Why v2.3 rather than v2.2.x. </w:t>
      </w:r>
      <w:r>
        <w:rPr>
          <w:rFonts w:ascii="Georgia" w:cs="Georgia" w:eastAsia="Georgia" w:hAnsi="Georgia"/>
          <w:color w:val="1A1A1A"/>
          <w:sz w:val="22"/>
          <w:szCs w:val="22"/>
        </w:rPr>
        <w:t xml:space="preserve">Substantive new pillar work establishing architectural framing for a previously concept-level pillar. Operates within the platform's overall architecture. Sets up the v2.4 work product (Universal Broadband Access Substantiation) which will provide depth on the lead component.</w:t>
      </w:r>
    </w:p>
    <w:p>
      <w:pPr>
        <w:spacing w:after="200" w:line="320"/>
        <w:jc w:val="both"/>
      </w:pPr>
      <w:r>
        <w:rPr>
          <w:rFonts w:ascii="Georgia" w:cs="Georgia" w:eastAsia="Georgia" w:hAnsi="Georgia"/>
          <w:b/>
          <w:bCs/>
          <w:sz w:val="22"/>
          <w:szCs w:val="22"/>
        </w:rPr>
        <w:t xml:space="preserve">What didn't change. </w:t>
      </w:r>
      <w:r>
        <w:rPr>
          <w:rFonts w:ascii="Georgia" w:cs="Georgia" w:eastAsia="Georgia" w:hAnsi="Georgia"/>
          <w:color w:val="1A1A1A"/>
          <w:sz w:val="22"/>
          <w:szCs w:val="22"/>
        </w:rPr>
        <w:t xml:space="preserve">All other documents and models remain at their previous versions. Civic Infrastructure framing is an addition to the platform; it doesn't replace or supersede existing pillar work.</w:t>
      </w:r>
    </w:p>
    <w:p>
      <w:pPr>
        <w:pStyle w:val="Heading2"/>
        <w:spacing w:after="160" w:before="360"/>
      </w:pPr>
      <w:r>
        <w:rPr>
          <w:rFonts w:ascii="Arial" w:cs="Arial" w:eastAsia="Arial" w:hAnsi="Arial"/>
          <w:b/>
          <w:bCs/>
          <w:color w:val="1F4E78"/>
          <w:sz w:val="28"/>
          <w:szCs w:val="28"/>
        </w:rPr>
        <w:t xml:space="preserve">Version 2.2 — May 4, 2026</w:t>
      </w:r>
    </w:p>
    <w:p>
      <w:pPr>
        <w:spacing w:after="200" w:line="320"/>
        <w:jc w:val="both"/>
      </w:pPr>
      <w:r>
        <w:rPr>
          <w:rFonts w:ascii="Georgia" w:cs="Georgia" w:eastAsia="Georgia" w:hAnsi="Georgia"/>
          <w:b/>
          <w:bCs/>
          <w:sz w:val="22"/>
          <w:szCs w:val="22"/>
        </w:rPr>
        <w:t xml:space="preserve">Universal Mental Health Access pillar substantiated. </w:t>
      </w:r>
      <w:r>
        <w:rPr>
          <w:rFonts w:ascii="Georgia" w:cs="Georgia" w:eastAsia="Georgia" w:hAnsi="Georgia"/>
          <w:color w:val="1A1A1A"/>
          <w:sz w:val="22"/>
          <w:szCs w:val="22"/>
        </w:rPr>
        <w:t xml:space="preserve">v2.2 substantiates the Universal Mental Health Access pillar with the depth that childcare and healthcare reached in v2.0. The pillar moves from concept-level to substantively defended through significant expansion of the existing model and a comprehensive new framing document.</w:t>
      </w:r>
    </w:p>
    <w:p>
      <w:pPr>
        <w:spacing w:after="200" w:line="320"/>
        <w:jc w:val="both"/>
      </w:pPr>
      <w:r>
        <w:rPr>
          <w:rFonts w:ascii="Georgia" w:cs="Georgia" w:eastAsia="Georgia" w:hAnsi="Georgia"/>
          <w:b/>
          <w:bCs/>
          <w:sz w:val="22"/>
          <w:szCs w:val="22"/>
        </w:rPr>
        <w:t xml:space="preserve">Universal Mental Health Model substantially expanded. </w:t>
      </w:r>
      <w:r>
        <w:rPr>
          <w:rFonts w:ascii="Georgia" w:cs="Georgia" w:eastAsia="Georgia" w:hAnsi="Georgia"/>
          <w:color w:val="1A1A1A"/>
          <w:sz w:val="22"/>
          <w:szCs w:val="22"/>
        </w:rPr>
        <w:t xml:space="preserve">Five new sheets added: Service Categories (differentiated cost/volume by service type), Workforce Expansion (year-by-year buildout with training pipeline timing), Telehealth Integration (capacity multiplier analysis), Geographic Distribution (urban/suburban/rural access analysis), and Stress Tests (scenarios for workforce and utilization variance). Model document moves from v1.0 to v1.1. Total formulas grew from approximately 30 to 357 with zero errors.</w:t>
      </w:r>
    </w:p>
    <w:p>
      <w:pPr>
        <w:spacing w:after="200" w:line="320"/>
        <w:jc w:val="both"/>
      </w:pPr>
      <w:r>
        <w:rPr>
          <w:rFonts w:ascii="Georgia" w:cs="Georgia" w:eastAsia="Georgia" w:hAnsi="Georgia"/>
          <w:b/>
          <w:bCs/>
          <w:sz w:val="22"/>
          <w:szCs w:val="22"/>
        </w:rPr>
        <w:t xml:space="preserve">New analytical framing document: 05_Universal_Mental_Health_Access_Substantiation.docx. </w:t>
      </w:r>
      <w:r>
        <w:rPr>
          <w:rFonts w:ascii="Georgia" w:cs="Georgia" w:eastAsia="Georgia" w:hAnsi="Georgia"/>
          <w:color w:val="1A1A1A"/>
          <w:sz w:val="22"/>
          <w:szCs w:val="22"/>
        </w:rPr>
        <w:t xml:space="preserve">Approximately 25 pages covering: why mental health is the right pillar to substantiate first; service category differentiation (six categories with distinct workforce and cost profiles); workforce expansion mathematics (the binding psychiatrist constraint and the three mitigations); telehealth integration as force multiplier (1.5-2.5x capacity multipliers); geographic distribution (the hardest sub-problem); parity enforcement mechanisms (why MHPAEA isn't enough); collaborative care integration with primary care (50% of the workforce solution); stress tests; and honest acknowledgments of what remains unresolved.</w:t>
      </w:r>
    </w:p>
    <w:p>
      <w:pPr>
        <w:spacing w:after="200" w:line="320"/>
        <w:jc w:val="both"/>
      </w:pPr>
      <w:r>
        <w:rPr>
          <w:rFonts w:ascii="Georgia" w:cs="Georgia" w:eastAsia="Georgia" w:hAnsi="Georgia"/>
          <w:b/>
          <w:bCs/>
          <w:sz w:val="22"/>
          <w:szCs w:val="22"/>
        </w:rPr>
        <w:t xml:space="preserve">The substantive finding: workforce, not money, is the binding constraint. </w:t>
      </w:r>
      <w:r>
        <w:rPr>
          <w:rFonts w:ascii="Georgia" w:cs="Georgia" w:eastAsia="Georgia" w:hAnsi="Georgia"/>
          <w:color w:val="1A1A1A"/>
          <w:sz w:val="22"/>
          <w:szCs w:val="22"/>
        </w:rPr>
        <w:t xml:space="preserve">The original mental health model demonstrated fiscal viability ($113B in service costs funded by ~$104B payroll plus ~$104B existing federal). The substantiation demonstrates that the psychiatrist gap (28K current vs 105K required at universal access) cannot be closed through training pipeline expansion alone in any reasonable timeframe. Universal access becomes operationally feasible by Year 8-12 only through combined PMHNP expansion, telehealth integration (2.5x multiplier for medication management), workforce redistribution from non-clinical roles, and collaborative care integration with primary care.</w:t>
      </w:r>
    </w:p>
    <w:p>
      <w:pPr>
        <w:spacing w:after="200" w:line="320"/>
        <w:jc w:val="both"/>
      </w:pPr>
      <w:r>
        <w:rPr>
          <w:rFonts w:ascii="Georgia" w:cs="Georgia" w:eastAsia="Georgia" w:hAnsi="Georgia"/>
          <w:b/>
          <w:bCs/>
          <w:sz w:val="22"/>
          <w:szCs w:val="22"/>
        </w:rPr>
        <w:t xml:space="preserve">Honest limits acknowledged. </w:t>
      </w:r>
      <w:r>
        <w:rPr>
          <w:rFonts w:ascii="Georgia" w:cs="Georgia" w:eastAsia="Georgia" w:hAnsi="Georgia"/>
          <w:color w:val="1A1A1A"/>
          <w:sz w:val="22"/>
          <w:szCs w:val="22"/>
        </w:rPr>
        <w:t xml:space="preserve">Frontier and remote rural areas will have access gaps for decades despite mitigations; cultural and linguistic competency in workforce remains inadequate; severe mental illness capacity is structurally limited; substance use disorders overlap but require distinct services; quality of care varies enormously; and provider burnout is severe. The substantiation closes 60-80% of geographic access gaps and reaches operational adequacy within 8-12 years; it does not eliminate every constraint.</w:t>
      </w:r>
    </w:p>
    <w:p>
      <w:pPr>
        <w:spacing w:after="200" w:line="320"/>
        <w:jc w:val="both"/>
      </w:pPr>
      <w:r>
        <w:rPr>
          <w:rFonts w:ascii="Georgia" w:cs="Georgia" w:eastAsia="Georgia" w:hAnsi="Georgia"/>
          <w:b/>
          <w:bCs/>
          <w:sz w:val="22"/>
          <w:szCs w:val="22"/>
        </w:rPr>
        <w:t xml:space="preserve">Why v2.2 rather than v2.1.x. </w:t>
      </w:r>
      <w:r>
        <w:rPr>
          <w:rFonts w:ascii="Georgia" w:cs="Georgia" w:eastAsia="Georgia" w:hAnsi="Georgia"/>
          <w:color w:val="1A1A1A"/>
          <w:sz w:val="22"/>
          <w:szCs w:val="22"/>
        </w:rPr>
        <w:t xml:space="preserve">Substantive pillar substantiation rather than cosmetic change. Operates within the platform's overall architecture rather than transforming it, so minor version increment rather than major. The work parallels what was done for childcare and healthcare in v2.0; the same pattern remains available for the other concept-level pillars (Civic Infrastructure, Future Capacity Fund, Proof-of-Concept Fund).</w:t>
      </w:r>
    </w:p>
    <w:p>
      <w:pPr>
        <w:spacing w:after="200" w:line="320"/>
        <w:jc w:val="both"/>
      </w:pPr>
      <w:r>
        <w:rPr>
          <w:rFonts w:ascii="Georgia" w:cs="Georgia" w:eastAsia="Georgia" w:hAnsi="Georgia"/>
          <w:b/>
          <w:bCs/>
          <w:sz w:val="22"/>
          <w:szCs w:val="22"/>
        </w:rPr>
        <w:t xml:space="preserve">What didn't change. </w:t>
      </w:r>
      <w:r>
        <w:rPr>
          <w:rFonts w:ascii="Georgia" w:cs="Georgia" w:eastAsia="Georgia" w:hAnsi="Georgia"/>
          <w:color w:val="1A1A1A"/>
          <w:sz w:val="22"/>
          <w:szCs w:val="22"/>
        </w:rPr>
        <w:t xml:space="preserve">All other documents and models remain at their previous versions. The mental health substantiation is an addition to and revision of existing material; it doesn't replace or supersede the platform's other pillars or analytical work.</w:t>
      </w:r>
    </w:p>
    <w:p>
      <w:pPr>
        <w:pStyle w:val="Heading2"/>
        <w:spacing w:after="160" w:before="360"/>
      </w:pPr>
      <w:r>
        <w:rPr>
          <w:rFonts w:ascii="Arial" w:cs="Arial" w:eastAsia="Arial" w:hAnsi="Arial"/>
          <w:b/>
          <w:bCs/>
          <w:color w:val="1F4E78"/>
          <w:sz w:val="28"/>
          <w:szCs w:val="28"/>
        </w:rPr>
        <w:t xml:space="preserve">Version 2.1 — May 4, 2026</w:t>
      </w:r>
    </w:p>
    <w:p>
      <w:pPr>
        <w:spacing w:after="200" w:line="320"/>
        <w:jc w:val="both"/>
      </w:pPr>
      <w:r>
        <w:rPr>
          <w:rFonts w:ascii="Georgia" w:cs="Georgia" w:eastAsia="Georgia" w:hAnsi="Georgia"/>
          <w:b/>
          <w:bCs/>
          <w:sz w:val="22"/>
          <w:szCs w:val="22"/>
        </w:rPr>
        <w:t xml:space="preserve">Refundable Transition Bridge Credit added. </w:t>
      </w:r>
      <w:r>
        <w:rPr>
          <w:rFonts w:ascii="Georgia" w:cs="Georgia" w:eastAsia="Georgia" w:hAnsi="Georgia"/>
          <w:color w:val="1A1A1A"/>
          <w:sz w:val="22"/>
          <w:szCs w:val="22"/>
        </w:rPr>
        <w:t xml:space="preserve">Following a citizen-originated question about whether the platform can offset higher costs during transition years (when workers are paying for the new system in parallel with continuing FICA), v2.1 adds a refundable federal tax credit equal to a percentage of each worker's new-system contribution, declining linearly from 30% in Year 1 to 0% by Year 30. The credit produces approximately $2.29 trillion in direct worker relief during transition years.</w:t>
      </w:r>
    </w:p>
    <w:p>
      <w:pPr>
        <w:spacing w:after="200" w:line="320"/>
        <w:jc w:val="both"/>
      </w:pPr>
      <w:r>
        <w:rPr>
          <w:rFonts w:ascii="Georgia" w:cs="Georgia" w:eastAsia="Georgia" w:hAnsi="Georgia"/>
          <w:b/>
          <w:bCs/>
          <w:sz w:val="22"/>
          <w:szCs w:val="22"/>
        </w:rPr>
        <w:t xml:space="preserve">Combined Reform Model updated with bridge credit math. </w:t>
      </w:r>
      <w:r>
        <w:rPr>
          <w:rFonts w:ascii="Georgia" w:cs="Georgia" w:eastAsia="Georgia" w:hAnsi="Georgia"/>
          <w:color w:val="1A1A1A"/>
          <w:sz w:val="22"/>
          <w:szCs w:val="22"/>
        </w:rPr>
        <w:t xml:space="preserve">Two new parameters added to Assumptions sheet (initial credit rate, phase-out years). New Bridge Credit column (T) added to baseline cash flow and all 5 stress-test sheets. Total Net Cash Flow formula (R) modified to subtract the bridge credit outflow. Stress Test Dashboard updated with bridge credit cost section showing year-by-year impact and total cumulative outflow. Model now contains 6,521 formulas (up from 6,144) with zero errors.</w:t>
      </w:r>
    </w:p>
    <w:p>
      <w:pPr>
        <w:spacing w:after="200" w:line="320"/>
        <w:jc w:val="both"/>
      </w:pPr>
      <w:r>
        <w:rPr>
          <w:rFonts w:ascii="Georgia" w:cs="Georgia" w:eastAsia="Georgia" w:hAnsi="Georgia"/>
          <w:b/>
          <w:bCs/>
          <w:sz w:val="22"/>
          <w:szCs w:val="22"/>
        </w:rPr>
        <w:t xml:space="preserve">New analytical framing document: 05_Refundable_Transition_Bridge_Credit.docx. </w:t>
      </w:r>
      <w:r>
        <w:rPr>
          <w:rFonts w:ascii="Georgia" w:cs="Georgia" w:eastAsia="Georgia" w:hAnsi="Georgia"/>
          <w:color w:val="1A1A1A"/>
          <w:sz w:val="22"/>
          <w:szCs w:val="22"/>
        </w:rPr>
        <w:t xml:space="preserve">Approximately 22 pages articulating the bridge credit's mechanical specification, per-worker impact, system-level cost, fiscal trade-offs, alternatives considered (Options 2-5 from the platform's earlier analysis), implementation considerations (legislation, IRS administration, funding mechanism), and honest acknowledgments of what the credit does, what it costs, and what it cannot do.</w:t>
      </w:r>
    </w:p>
    <w:p>
      <w:pPr>
        <w:spacing w:after="200" w:line="320"/>
        <w:jc w:val="both"/>
      </w:pPr>
      <w:r>
        <w:rPr>
          <w:rFonts w:ascii="Georgia" w:cs="Georgia" w:eastAsia="Georgia" w:hAnsi="Georgia"/>
          <w:b/>
          <w:bCs/>
          <w:sz w:val="22"/>
          <w:szCs w:val="22"/>
        </w:rPr>
        <w:t xml:space="preserve">Honest fiscal trade-off documented. </w:t>
      </w:r>
      <w:r>
        <w:rPr>
          <w:rFonts w:ascii="Georgia" w:cs="Georgia" w:eastAsia="Georgia" w:hAnsi="Georgia"/>
          <w:color w:val="1A1A1A"/>
          <w:sz w:val="22"/>
          <w:szCs w:val="22"/>
        </w:rPr>
        <w:t xml:space="preserve">Peak transition borrowing increases from $82B (v2.0 baseline) to $1.88T (v2.1 baseline with bridge credit). Year 60 cumulative position is $8.3T lower ($40.6T vs $48.9T) due to compounded debt service on transition borrowing. The Sovereign Fund still reaches $121.9T by Year 60 because credits don't reduce fund inflows. All five stress-test scenarios continue to PASS within 50% of the new baseline. The architecture absorbs the bridge credit cost over the long run.</w:t>
      </w:r>
    </w:p>
    <w:p>
      <w:pPr>
        <w:spacing w:after="200" w:line="320"/>
        <w:jc w:val="both"/>
      </w:pPr>
      <w:r>
        <w:rPr>
          <w:rFonts w:ascii="Georgia" w:cs="Georgia" w:eastAsia="Georgia" w:hAnsi="Georgia"/>
          <w:b/>
          <w:bCs/>
          <w:sz w:val="22"/>
          <w:szCs w:val="22"/>
        </w:rPr>
        <w:t xml:space="preserve">Why this is v2.1 rather than v2.0.x. </w:t>
      </w:r>
      <w:r>
        <w:rPr>
          <w:rFonts w:ascii="Georgia" w:cs="Georgia" w:eastAsia="Georgia" w:hAnsi="Georgia"/>
          <w:color w:val="1A1A1A"/>
          <w:sz w:val="22"/>
          <w:szCs w:val="22"/>
        </w:rPr>
        <w:t xml:space="preserve">The minor version increment reflects that this is a substantive architectural addition rather than a cosmetic change, but operates within the v2.0 architecture rather than transforming it. The bridge credit modifies how the platform reaches its destination (by softening transition burden) without changing what the platform ultimately delivers.</w:t>
      </w:r>
    </w:p>
    <w:p>
      <w:pPr>
        <w:spacing w:after="200" w:line="320"/>
        <w:jc w:val="both"/>
      </w:pPr>
      <w:r>
        <w:rPr>
          <w:rFonts w:ascii="Georgia" w:cs="Georgia" w:eastAsia="Georgia" w:hAnsi="Georgia"/>
          <w:b/>
          <w:bCs/>
          <w:sz w:val="22"/>
          <w:szCs w:val="22"/>
        </w:rPr>
        <w:t xml:space="preserve">What didn't change. </w:t>
      </w:r>
      <w:r>
        <w:rPr>
          <w:rFonts w:ascii="Georgia" w:cs="Georgia" w:eastAsia="Georgia" w:hAnsi="Georgia"/>
          <w:color w:val="1A1A1A"/>
          <w:sz w:val="22"/>
          <w:szCs w:val="22"/>
        </w:rPr>
        <w:t xml:space="preserve">All other documents and models remain at their previous versions. The bridge credit is an addition to the v2.0 architecture, not a replacement for any existing component. All v2.0 work products (stress-test scenarios, 18-year childcare buildout, governance design, healthcare transition plan) remain current.</w:t>
      </w:r>
    </w:p>
    <w:p>
      <w:pPr>
        <w:pStyle w:val="Heading2"/>
        <w:spacing w:after="160" w:before="360"/>
      </w:pPr>
      <w:r>
        <w:rPr>
          <w:rFonts w:ascii="Arial" w:cs="Arial" w:eastAsia="Arial" w:hAnsi="Arial"/>
          <w:b/>
          <w:bCs/>
          <w:color w:val="1F4E78"/>
          <w:sz w:val="28"/>
          <w:szCs w:val="28"/>
        </w:rPr>
        <w:t xml:space="preserve">Version 2.0 — May 4, 2026</w:t>
      </w:r>
    </w:p>
    <w:p>
      <w:pPr>
        <w:spacing w:after="200" w:line="320"/>
        <w:jc w:val="both"/>
      </w:pPr>
      <w:r>
        <w:rPr>
          <w:rFonts w:ascii="Georgia" w:cs="Georgia" w:eastAsia="Georgia" w:hAnsi="Georgia"/>
          <w:b/>
          <w:bCs/>
          <w:sz w:val="22"/>
          <w:szCs w:val="22"/>
        </w:rPr>
        <w:t xml:space="preserve">Substantive response to external review delivered. </w:t>
      </w:r>
      <w:r>
        <w:rPr>
          <w:rFonts w:ascii="Georgia" w:cs="Georgia" w:eastAsia="Georgia" w:hAnsi="Georgia"/>
          <w:color w:val="1A1A1A"/>
          <w:sz w:val="22"/>
          <w:szCs w:val="22"/>
        </w:rPr>
        <w:t xml:space="preserve">v2.0 represents the platform's first substantive response to external critique through analytical work rather than just response documents. Following Gemini's external review (received in v1.9), this version delivers four specific work products addressing the four vulnerabilities the review identified, in the priority order recommended by the platform's response document.</w:t>
      </w:r>
    </w:p>
    <w:p>
      <w:pPr>
        <w:spacing w:after="200" w:line="320"/>
        <w:jc w:val="both"/>
      </w:pPr>
      <w:r>
        <w:rPr>
          <w:rFonts w:ascii="Georgia" w:cs="Georgia" w:eastAsia="Georgia" w:hAnsi="Georgia"/>
          <w:b/>
          <w:bCs/>
          <w:sz w:val="22"/>
          <w:szCs w:val="22"/>
        </w:rPr>
        <w:t xml:space="preserve">Item 1: Stress-test scenarios added to Combined Reform Model. </w:t>
      </w:r>
      <w:r>
        <w:rPr>
          <w:rFonts w:ascii="Georgia" w:cs="Georgia" w:eastAsia="Georgia" w:hAnsi="Georgia"/>
          <w:color w:val="1A1A1A"/>
          <w:sz w:val="22"/>
          <w:szCs w:val="22"/>
        </w:rPr>
        <w:t xml:space="preserve">The Combined Reform Model gained a new Scenario Inputs sheet, five stress-test cash flow sheets (Lost Decade, Early Crash, Stagflation, Demographic Shock, Compound Crisis), and a Stress Test Dashboard. Each scenario varies the Sovereign Fund's real return path during transition years and produces year-by-year cash flow comparable to the baseline. Result: all five scenarios PASS within 50% of baseline peak borrowing, demonstrating the architecture is more resilient than the review implied. The model now has 6,144 formulas (up from ~600) with zero errors.</w:t>
      </w:r>
    </w:p>
    <w:p>
      <w:pPr>
        <w:spacing w:after="200" w:line="320"/>
        <w:jc w:val="both"/>
      </w:pPr>
      <w:r>
        <w:rPr>
          <w:rFonts w:ascii="Georgia" w:cs="Georgia" w:eastAsia="Georgia" w:hAnsi="Georgia"/>
          <w:b/>
          <w:bCs/>
          <w:sz w:val="22"/>
          <w:szCs w:val="22"/>
        </w:rPr>
        <w:t xml:space="preserve">Item 2: Universal Childcare Model revised to 18-year buildout. </w:t>
      </w:r>
      <w:r>
        <w:rPr>
          <w:rFonts w:ascii="Georgia" w:cs="Georgia" w:eastAsia="Georgia" w:hAnsi="Georgia"/>
          <w:color w:val="1A1A1A"/>
          <w:sz w:val="22"/>
          <w:szCs w:val="22"/>
        </w:rPr>
        <w:t xml:space="preserve">The Universal Childcare Model's Transition Analysis sheet was extended from 15 years to 18 years, with explicit milestones at Years 6 (28% coverage), 12 (57% coverage), and 18 (85% full universal access). The Assumptions sheet's phase-in parameter changed from 12 to 18 years. The Dashboard was updated to show the new buildout milestones. The README documents the revision rationale (workforce capacity is the binding constraint, not money). The model document moves from v1.0 to v1.1.</w:t>
      </w:r>
    </w:p>
    <w:p>
      <w:pPr>
        <w:spacing w:after="200" w:line="320"/>
        <w:jc w:val="both"/>
      </w:pPr>
      <w:r>
        <w:rPr>
          <w:rFonts w:ascii="Georgia" w:cs="Georgia" w:eastAsia="Georgia" w:hAnsi="Georgia"/>
          <w:b/>
          <w:bCs/>
          <w:sz w:val="22"/>
          <w:szCs w:val="22"/>
        </w:rPr>
        <w:t xml:space="preserve">Item 3: Sovereign Fund Governance Design document added. </w:t>
      </w:r>
      <w:r>
        <w:rPr>
          <w:rFonts w:ascii="Georgia" w:cs="Georgia" w:eastAsia="Georgia" w:hAnsi="Georgia"/>
          <w:color w:val="1A1A1A"/>
          <w:sz w:val="22"/>
          <w:szCs w:val="22"/>
        </w:rPr>
        <w:t xml:space="preserve">A new analytical framing document (~25 pages) articulates a multi-layer governance architecture for the Sovereign Fund: structural protections (split fund architecture, passive index mandate, distributed voting, geographic diversification), statutory protections (supermajority change requirements, trust structure with beneficiary standing, disbursement restrictions, anti-crisis exception drafting, sunset and reauthorization), institutional protections (board composition, compensation structure, executive selection, independent audit, worker voice), and constitutional aspirations (treaty-level commitments as interim, constitutional amendment as long-term goal). The document includes failure mode analysis (crisis-driven raids, gradual capture, technological capture, political polarization erosion) with specific mitigations for each.</w:t>
      </w:r>
    </w:p>
    <w:p>
      <w:pPr>
        <w:spacing w:after="200" w:line="320"/>
        <w:jc w:val="both"/>
      </w:pPr>
      <w:r>
        <w:rPr>
          <w:rFonts w:ascii="Georgia" w:cs="Georgia" w:eastAsia="Georgia" w:hAnsi="Georgia"/>
          <w:b/>
          <w:bCs/>
          <w:sz w:val="22"/>
          <w:szCs w:val="22"/>
        </w:rPr>
        <w:t xml:space="preserve">Item 4: Healthcare Transition Detailed Plan added. </w:t>
      </w:r>
      <w:r>
        <w:rPr>
          <w:rFonts w:ascii="Georgia" w:cs="Georgia" w:eastAsia="Georgia" w:hAnsi="Georgia"/>
          <w:color w:val="1A1A1A"/>
          <w:sz w:val="22"/>
          <w:szCs w:val="22"/>
        </w:rPr>
        <w:t xml:space="preserve">A new analytical framing document (~22 pages) articulates a five-component transition plan for the $1.7T healthcare savings: phased savings extraction over 15 years (rather than 10), rural hospital protection program ($20-30B annual cost), administrative worker transition support for 400-480K displaced workers ($40-60B annual cost during peak years), specialist practice transition with voluntary buyouts and geographic redistribution, and pharmaceutical innovation continuity through the Innovation Continuity Fund and value-based pricing. Total transition program cost: $80-110B annually during peak years (~5-7% of total healthcare savings, deliberately allocated as first priority).</w:t>
      </w:r>
    </w:p>
    <w:p>
      <w:pPr>
        <w:spacing w:after="200" w:line="320"/>
        <w:jc w:val="both"/>
      </w:pPr>
      <w:r>
        <w:rPr>
          <w:rFonts w:ascii="Georgia" w:cs="Georgia" w:eastAsia="Georgia" w:hAnsi="Georgia"/>
          <w:b/>
          <w:bCs/>
          <w:sz w:val="22"/>
          <w:szCs w:val="22"/>
        </w:rPr>
        <w:t xml:space="preserve">Why this is v2.0 rather than v1.10. </w:t>
      </w:r>
      <w:r>
        <w:rPr>
          <w:rFonts w:ascii="Georgia" w:cs="Georgia" w:eastAsia="Georgia" w:hAnsi="Georgia"/>
          <w:color w:val="1A1A1A"/>
          <w:sz w:val="22"/>
          <w:szCs w:val="22"/>
        </w:rPr>
        <w:t xml:space="preserve">The major version increment reflects that this version represents a qualitative shift in the platform's relationship with external critique. v1.9 demonstrated the response pattern through the Gemini Review and Response document. v2.0 demonstrates that the response pattern produces actual substantive work, not just acknowledgment. The platform now contains analytical work directly addressing each of the four most serious vulnerabilities external review identified.</w:t>
      </w:r>
    </w:p>
    <w:p>
      <w:pPr>
        <w:spacing w:after="200" w:line="320"/>
        <w:jc w:val="both"/>
      </w:pPr>
      <w:r>
        <w:rPr>
          <w:rFonts w:ascii="Georgia" w:cs="Georgia" w:eastAsia="Georgia" w:hAnsi="Georgia"/>
          <w:b/>
          <w:bCs/>
          <w:sz w:val="22"/>
          <w:szCs w:val="22"/>
        </w:rPr>
        <w:t xml:space="preserve">What didn't change. </w:t>
      </w:r>
      <w:r>
        <w:rPr>
          <w:rFonts w:ascii="Georgia" w:cs="Georgia" w:eastAsia="Georgia" w:hAnsi="Georgia"/>
          <w:color w:val="1A1A1A"/>
          <w:sz w:val="22"/>
          <w:szCs w:val="22"/>
        </w:rPr>
        <w:t xml:space="preserve">All other documents and models in the package remain at their previous versions. No other claims, analyses, or architectural designs were modified. The four work products in this version are additions to and revisions of existing material; they don't replace or supersede the platform's existing analytical foundation.</w:t>
      </w:r>
    </w:p>
    <w:p>
      <w:pPr>
        <w:pStyle w:val="Heading2"/>
        <w:spacing w:after="160" w:before="360"/>
      </w:pPr>
      <w:r>
        <w:rPr>
          <w:rFonts w:ascii="Arial" w:cs="Arial" w:eastAsia="Arial" w:hAnsi="Arial"/>
          <w:b/>
          <w:bCs/>
          <w:color w:val="1F4E78"/>
          <w:sz w:val="28"/>
          <w:szCs w:val="28"/>
        </w:rPr>
        <w:t xml:space="preserve">Version 1.9 — May 4, 2026</w:t>
      </w:r>
    </w:p>
    <w:p>
      <w:pPr>
        <w:spacing w:after="200" w:line="320"/>
        <w:jc w:val="both"/>
      </w:pPr>
      <w:r>
        <w:rPr>
          <w:rFonts w:ascii="Georgia" w:cs="Georgia" w:eastAsia="Georgia" w:hAnsi="Georgia"/>
          <w:b/>
          <w:bCs/>
          <w:sz w:val="22"/>
          <w:szCs w:val="22"/>
        </w:rPr>
        <w:t xml:space="preserve">First external review received and responded to. </w:t>
      </w:r>
      <w:r>
        <w:rPr>
          <w:rFonts w:ascii="Georgia" w:cs="Georgia" w:eastAsia="Georgia" w:hAnsi="Georgia"/>
          <w:color w:val="1A1A1A"/>
          <w:sz w:val="22"/>
          <w:szCs w:val="22"/>
        </w:rPr>
        <w:t xml:space="preserve">On May 4, 2026, the v1.8 platform package was reviewed by Gemini, an AI assistant developed by Google. The review identified four core strengths (empirical anchoring, systemic cross-subsidization, the unleashing narrative, transparent provenance) and four critical vulnerabilities (Sovereign Fund governance trap, healthcare industry pushback, sequence-of-returns risk during transition, childcare workforce capacity constraints). This version adds the review and a substantive response document to the package.</w:t>
      </w:r>
    </w:p>
    <w:p>
      <w:pPr>
        <w:spacing w:after="200" w:line="320"/>
        <w:jc w:val="both"/>
      </w:pPr>
      <w:r>
        <w:rPr>
          <w:rFonts w:ascii="Georgia" w:cs="Georgia" w:eastAsia="Georgia" w:hAnsi="Georgia"/>
          <w:b/>
          <w:bCs/>
          <w:sz w:val="22"/>
          <w:szCs w:val="22"/>
        </w:rPr>
        <w:t xml:space="preserve">New folder added: 07_External_Reviews. </w:t>
      </w:r>
      <w:r>
        <w:rPr>
          <w:rFonts w:ascii="Georgia" w:cs="Georgia" w:eastAsia="Georgia" w:hAnsi="Georgia"/>
          <w:color w:val="1A1A1A"/>
          <w:sz w:val="22"/>
          <w:szCs w:val="22"/>
        </w:rPr>
        <w:t xml:space="preserve">External reviews are categorically different from the platform's own analytical work and warrant their own folder rather than being mixed into existing categories. The new folder contains both the original Gemini review (as PDF) and a response document (as Word) that engages with each identified vulnerability. Future external reviews will be added to this folder as they're received.</w:t>
      </w:r>
    </w:p>
    <w:p>
      <w:pPr>
        <w:spacing w:after="200" w:line="320"/>
        <w:jc w:val="both"/>
      </w:pPr>
      <w:r>
        <w:rPr>
          <w:rFonts w:ascii="Georgia" w:cs="Georgia" w:eastAsia="Georgia" w:hAnsi="Georgia"/>
          <w:b/>
          <w:bCs/>
          <w:sz w:val="22"/>
          <w:szCs w:val="22"/>
        </w:rPr>
        <w:t xml:space="preserve">Two new files: 07_Gemini_Review_of_v1_8.pdf and 07_Response_To_Gemini_Review.docx. </w:t>
      </w:r>
      <w:r>
        <w:rPr>
          <w:rFonts w:ascii="Georgia" w:cs="Georgia" w:eastAsia="Georgia" w:hAnsi="Georgia"/>
          <w:color w:val="1A1A1A"/>
          <w:sz w:val="22"/>
          <w:szCs w:val="22"/>
        </w:rPr>
        <w:t xml:space="preserve">The Gemini review is preserved as the original PDF for archival accuracy. The response document engages with each of the four identified vulnerabilities, distinguishing what's true, what could mitigate the vulnerability, and what remains unresolved. The response also identifies twenty specific actions the platform should take in subsequent versions, ranging from new analytical documents (Sovereign Fund Governance Design, Healthcare Transition Detailed Plan, Workforce Expansion Strategy) to model revisions (stress-test scenarios in Combined Reform Model, 18-year buildout in Universal Childcare Model).</w:t>
      </w:r>
    </w:p>
    <w:p>
      <w:pPr>
        <w:spacing w:after="200" w:line="320"/>
        <w:jc w:val="both"/>
      </w:pPr>
      <w:r>
        <w:rPr>
          <w:rFonts w:ascii="Georgia" w:cs="Georgia" w:eastAsia="Georgia" w:hAnsi="Georgia"/>
          <w:b/>
          <w:bCs/>
          <w:sz w:val="22"/>
          <w:szCs w:val="22"/>
        </w:rPr>
        <w:t xml:space="preserve">Why this matters. </w:t>
      </w:r>
      <w:r>
        <w:rPr>
          <w:rFonts w:ascii="Georgia" w:cs="Georgia" w:eastAsia="Georgia" w:hAnsi="Georgia"/>
          <w:color w:val="1A1A1A"/>
          <w:sz w:val="22"/>
          <w:szCs w:val="22"/>
        </w:rPr>
        <w:t xml:space="preserve">The platform's commitment is to take serious critique seriously and refine in response. This version is the first instance of that commitment in practice. The pattern it establishes — acknowledge what's right, engage with what's wrong or incomplete, identify specific work in response, acknowledge what remains beyond the platform's scope — will continue for subsequent external reviews regardless of source.</w:t>
      </w:r>
    </w:p>
    <w:p>
      <w:pPr>
        <w:spacing w:after="200" w:line="320"/>
        <w:jc w:val="both"/>
      </w:pPr>
      <w:r>
        <w:rPr>
          <w:rFonts w:ascii="Georgia" w:cs="Georgia" w:eastAsia="Georgia" w:hAnsi="Georgia"/>
          <w:b/>
          <w:bCs/>
          <w:sz w:val="22"/>
          <w:szCs w:val="22"/>
        </w:rPr>
        <w:t xml:space="preserve">What didn't change. </w:t>
      </w:r>
      <w:r>
        <w:rPr>
          <w:rFonts w:ascii="Georgia" w:cs="Georgia" w:eastAsia="Georgia" w:hAnsi="Georgia"/>
          <w:color w:val="1A1A1A"/>
          <w:sz w:val="22"/>
          <w:szCs w:val="22"/>
        </w:rPr>
        <w:t xml:space="preserve">All other documents remain at their previous versions. No claims, analyses, or architectural designs in existing pillars were modified. The package version increment from 1.8 to 1.9 reflects the addition of new content within an expanded folder structure. The work to address Gemini's vulnerabilities through revised models and additional documents is identified for future versions, not delivered in this version.</w:t>
      </w:r>
    </w:p>
    <w:p>
      <w:pPr>
        <w:pStyle w:val="Heading2"/>
        <w:spacing w:after="160" w:before="360"/>
      </w:pPr>
      <w:r>
        <w:rPr>
          <w:rFonts w:ascii="Arial" w:cs="Arial" w:eastAsia="Arial" w:hAnsi="Arial"/>
          <w:b/>
          <w:bCs/>
          <w:color w:val="1F4E78"/>
          <w:sz w:val="28"/>
          <w:szCs w:val="28"/>
        </w:rPr>
        <w:t xml:space="preserve">Version 1.8 — May 4, 2026</w:t>
      </w:r>
    </w:p>
    <w:p>
      <w:pPr>
        <w:spacing w:after="200" w:line="320"/>
        <w:jc w:val="both"/>
      </w:pPr>
      <w:r>
        <w:rPr>
          <w:rFonts w:ascii="Georgia" w:cs="Georgia" w:eastAsia="Georgia" w:hAnsi="Georgia"/>
          <w:b/>
          <w:bCs/>
          <w:sz w:val="22"/>
          <w:szCs w:val="22"/>
        </w:rPr>
        <w:t xml:space="preserve">File naming convention applied. </w:t>
      </w:r>
      <w:r>
        <w:rPr>
          <w:rFonts w:ascii="Georgia" w:cs="Georgia" w:eastAsia="Georgia" w:hAnsi="Georgia"/>
          <w:color w:val="1A1A1A"/>
          <w:sz w:val="22"/>
          <w:szCs w:val="22"/>
        </w:rPr>
        <w:t xml:space="preserve">Every file in the package now has a two-digit prefix matching its parent folder's number. For example, files in 02_Vision_and_Communication/ now begin with “02_”, files in 05_Analytical_Framing/ now begin with “05_”, and so on. Every file reference in the package's navigation documents (Reader's Guide and Package Version) has been updated to use the new prefixed names. The actual document content of every file is unchanged — only the filenames have been modified.</w:t>
      </w:r>
    </w:p>
    <w:p>
      <w:pPr>
        <w:spacing w:after="200" w:line="320"/>
        <w:jc w:val="both"/>
      </w:pPr>
      <w:r>
        <w:rPr>
          <w:rFonts w:ascii="Georgia" w:cs="Georgia" w:eastAsia="Georgia" w:hAnsi="Georgia"/>
          <w:b/>
          <w:bCs/>
          <w:sz w:val="22"/>
          <w:szCs w:val="22"/>
        </w:rPr>
        <w:t xml:space="preserve">Why this matters. </w:t>
      </w:r>
      <w:r>
        <w:rPr>
          <w:rFonts w:ascii="Georgia" w:cs="Georgia" w:eastAsia="Georgia" w:hAnsi="Georgia"/>
          <w:color w:val="1A1A1A"/>
          <w:sz w:val="22"/>
          <w:szCs w:val="22"/>
        </w:rPr>
        <w:t xml:space="preserve">Self-documenting filenames mean any file extracted or moved outside the package structure still tells the reader where it belongs. A single file like “05_Path_To_Reality.docx” is identifiable as belonging in the Analytical Framing section even if its folder context has been lost. This also makes the package more robust to email forwarding, file-sharing services that flatten folder structures, and other situations where the original folder organization isn't preserved.</w:t>
      </w:r>
    </w:p>
    <w:p>
      <w:pPr>
        <w:spacing w:after="200" w:line="320"/>
        <w:jc w:val="both"/>
      </w:pPr>
      <w:r>
        <w:rPr>
          <w:rFonts w:ascii="Georgia" w:cs="Georgia" w:eastAsia="Georgia" w:hAnsi="Georgia"/>
          <w:b/>
          <w:bCs/>
          <w:sz w:val="22"/>
          <w:szCs w:val="22"/>
        </w:rPr>
        <w:t xml:space="preserve">What didn't change. </w:t>
      </w:r>
      <w:r>
        <w:rPr>
          <w:rFonts w:ascii="Georgia" w:cs="Georgia" w:eastAsia="Georgia" w:hAnsi="Georgia"/>
          <w:color w:val="1A1A1A"/>
          <w:sz w:val="22"/>
          <w:szCs w:val="22"/>
        </w:rPr>
        <w:t xml:space="preserve">All document content is identical to v1.7. No claims, analyses, architectural designs, mathematical models, or visual elements were modified. The package version increment from 1.7 to 1.8 reflects only the file naming convention change.</w:t>
      </w:r>
    </w:p>
    <w:p>
      <w:pPr>
        <w:pStyle w:val="Heading2"/>
        <w:spacing w:after="160" w:before="360"/>
      </w:pPr>
      <w:r>
        <w:rPr>
          <w:rFonts w:ascii="Arial" w:cs="Arial" w:eastAsia="Arial" w:hAnsi="Arial"/>
          <w:b/>
          <w:bCs/>
          <w:color w:val="1F4E78"/>
          <w:sz w:val="28"/>
          <w:szCs w:val="28"/>
        </w:rPr>
        <w:t xml:space="preserve">Version 1.7 — May 4, 2026</w:t>
      </w:r>
    </w:p>
    <w:p>
      <w:pPr>
        <w:spacing w:after="200" w:line="320"/>
        <w:jc w:val="both"/>
      </w:pPr>
      <w:r>
        <w:rPr>
          <w:rFonts w:ascii="Georgia" w:cs="Georgia" w:eastAsia="Georgia" w:hAnsi="Georgia"/>
          <w:b/>
          <w:bCs/>
          <w:sz w:val="22"/>
          <w:szCs w:val="22"/>
        </w:rPr>
        <w:t xml:space="preserve">Tax comparison document expanded to cover the full income range. </w:t>
      </w:r>
      <w:r>
        <w:rPr>
          <w:rFonts w:ascii="Georgia" w:cs="Georgia" w:eastAsia="Georgia" w:hAnsi="Georgia"/>
          <w:color w:val="1A1A1A"/>
          <w:sz w:val="22"/>
          <w:szCs w:val="22"/>
        </w:rPr>
        <w:t xml:space="preserve">The “What This Means For You” document was extended from covering $35K-$500K to now covering $20K through $2M across all filer categories. The summary table grew from 23 scenarios to 40 scenarios. Each per-category section now shows 12-15 income points (up from 4-7), giving any reader the ability to find their actual income level and household configuration in the tables. Includes new analysis of high-earner effects in the $1M-$2M range, where households see meaningful increases (single filers pay 12% more at $1M and 23% more at $2M; MFJ couples see smaller increases due to doubled surcharge thresholds). Document moves from v1.0 to v1.1 to reflect this content expansion.</w:t>
      </w:r>
    </w:p>
    <w:p>
      <w:pPr>
        <w:spacing w:after="200" w:line="320"/>
        <w:jc w:val="both"/>
      </w:pPr>
      <w:r>
        <w:rPr>
          <w:rFonts w:ascii="Georgia" w:cs="Georgia" w:eastAsia="Georgia" w:hAnsi="Georgia"/>
          <w:b/>
          <w:bCs/>
          <w:sz w:val="22"/>
          <w:szCs w:val="22"/>
        </w:rPr>
        <w:t xml:space="preserve">Internal consistency fixes. </w:t>
      </w:r>
      <w:r>
        <w:rPr>
          <w:rFonts w:ascii="Georgia" w:cs="Georgia" w:eastAsia="Georgia" w:hAnsi="Georgia"/>
          <w:color w:val="1A1A1A"/>
          <w:sz w:val="22"/>
          <w:szCs w:val="22"/>
        </w:rPr>
        <w:t xml:space="preserve">While expanding the tables, several internal inconsistencies between the existing detail breakdowns and income-range tables were identified and corrected. Detail breakdowns for Single $50K, Single Parent $50K, MFJ no-kids $100K, and MFJ 2-kids $100K now use the same calculation method as the income-range tables, making the document internally self-consistent in a way it wasn't before. The corrected numbers are also more accurate to the underlying calculation model. Page count grew from approximately 24 pages to 27 pages.</w:t>
      </w:r>
    </w:p>
    <w:p>
      <w:pPr>
        <w:spacing w:after="200" w:line="320"/>
        <w:jc w:val="both"/>
      </w:pPr>
      <w:r>
        <w:rPr>
          <w:rFonts w:ascii="Georgia" w:cs="Georgia" w:eastAsia="Georgia" w:hAnsi="Georgia"/>
          <w:b/>
          <w:bCs/>
          <w:sz w:val="22"/>
          <w:szCs w:val="22"/>
        </w:rPr>
        <w:t xml:space="preserve">Why this matters. </w:t>
      </w:r>
      <w:r>
        <w:rPr>
          <w:rFonts w:ascii="Georgia" w:cs="Georgia" w:eastAsia="Georgia" w:hAnsi="Georgia"/>
          <w:color w:val="1A1A1A"/>
          <w:sz w:val="22"/>
          <w:szCs w:val="22"/>
        </w:rPr>
        <w:t xml:space="preserve">The expanded range serves citizens at every point on the income distribution. A working-class single mother making $20,000 can now find her exact scenario showing an 84% reduction in federal cost. A high-earning surgeon making $2 million can find her exact scenario showing a 23% increase. Without the wider range, readers at the extremes had to extrapolate from the documented scenarios; with the wider range, every reader can find their actual situation represented. This is essential for the document's purpose: making the platform legible at the personal level to any reader regardless of their income.</w:t>
      </w:r>
    </w:p>
    <w:p>
      <w:pPr>
        <w:spacing w:after="200" w:line="320"/>
        <w:jc w:val="both"/>
      </w:pPr>
      <w:r>
        <w:rPr>
          <w:rFonts w:ascii="Georgia" w:cs="Georgia" w:eastAsia="Georgia" w:hAnsi="Georgia"/>
          <w:b/>
          <w:bCs/>
          <w:sz w:val="22"/>
          <w:szCs w:val="22"/>
        </w:rPr>
        <w:t xml:space="preserve">What didn't change. </w:t>
      </w:r>
      <w:r>
        <w:rPr>
          <w:rFonts w:ascii="Georgia" w:cs="Georgia" w:eastAsia="Georgia" w:hAnsi="Georgia"/>
          <w:color w:val="1A1A1A"/>
          <w:sz w:val="22"/>
          <w:szCs w:val="22"/>
        </w:rPr>
        <w:t xml:space="preserve">All other documents remain at their previous versions. No claims, analyses, or architectural designs in existing pillars were modified. The package version increment from 1.6 to 1.7 reflects the expansion of an existing document, not the addition of new documents.</w:t>
      </w:r>
    </w:p>
    <w:p>
      <w:pPr>
        <w:pStyle w:val="Heading2"/>
        <w:spacing w:after="160" w:before="360"/>
      </w:pPr>
      <w:r>
        <w:rPr>
          <w:rFonts w:ascii="Arial" w:cs="Arial" w:eastAsia="Arial" w:hAnsi="Arial"/>
          <w:b/>
          <w:bCs/>
          <w:color w:val="1F4E78"/>
          <w:sz w:val="28"/>
          <w:szCs w:val="28"/>
        </w:rPr>
        <w:t xml:space="preserve">Version 1.6 — May 4, 2026</w:t>
      </w:r>
    </w:p>
    <w:p>
      <w:pPr>
        <w:spacing w:after="200" w:line="320"/>
        <w:jc w:val="both"/>
      </w:pPr>
      <w:r>
        <w:rPr>
          <w:rFonts w:ascii="Georgia" w:cs="Georgia" w:eastAsia="Georgia" w:hAnsi="Georgia"/>
          <w:b/>
          <w:bCs/>
          <w:sz w:val="22"/>
          <w:szCs w:val="22"/>
        </w:rPr>
        <w:t xml:space="preserve">Reader-accessible tax comparison document added: “What This Means For You.” </w:t>
      </w:r>
      <w:r>
        <w:rPr>
          <w:rFonts w:ascii="Georgia" w:cs="Georgia" w:eastAsia="Georgia" w:hAnsi="Georgia"/>
          <w:color w:val="1A1A1A"/>
          <w:sz w:val="22"/>
          <w:szCs w:val="22"/>
        </w:rPr>
        <w:t xml:space="preserve">A new analytical framing document that translates the platform's tax architecture into personal financial information for typical filer categories. Walks through detailed side-by-side comparisons for single filers without children, single parents, married filing jointly without children, married filing jointly with 2 kids, and married filing jointly with 4 kids — across incomes from $35K to $500K. Each scenario shows what readers pay today, what they would pay under the platform, and what each dollar buys in both cases. Also includes a comprehensive summary table covering 23 different scenarios.</w:t>
      </w:r>
    </w:p>
    <w:p>
      <w:pPr>
        <w:spacing w:after="200" w:line="320"/>
        <w:jc w:val="both"/>
      </w:pPr>
      <w:r>
        <w:rPr>
          <w:rFonts w:ascii="Georgia" w:cs="Georgia" w:eastAsia="Georgia" w:hAnsi="Georgia"/>
          <w:b/>
          <w:bCs/>
          <w:sz w:val="22"/>
          <w:szCs w:val="22"/>
        </w:rPr>
        <w:t xml:space="preserve">Why this matters. </w:t>
      </w:r>
      <w:r>
        <w:rPr>
          <w:rFonts w:ascii="Georgia" w:cs="Georgia" w:eastAsia="Georgia" w:hAnsi="Georgia"/>
          <w:color w:val="1A1A1A"/>
          <w:sz w:val="22"/>
          <w:szCs w:val="22"/>
        </w:rPr>
        <w:t xml:space="preserve">The platform's previous documents established the analytical foundation, the strategic framing, and the implementation timeline. This document fills the most reader-accessible gap: the personal-level translation that any citizen needs to evaluate whether the platform actually benefits their specific situation. Working-class workers (earning $35K-$50K) save 60-77% on federal cost. Middle-class workers ($75K-$150K) save 40-70%. Upper-middle-class workers (earning $250K) save modestly. High earners ($500K+) see modest changes — small increases for single filers, small decreases for MFJ filers with children. This makes the platform legible to ordinary citizens in a way the abstract policy documents alone cannot.</w:t>
      </w:r>
    </w:p>
    <w:p>
      <w:pPr>
        <w:spacing w:after="200" w:line="320"/>
        <w:jc w:val="both"/>
      </w:pPr>
      <w:r>
        <w:rPr>
          <w:rFonts w:ascii="Georgia" w:cs="Georgia" w:eastAsia="Georgia" w:hAnsi="Georgia"/>
          <w:b/>
          <w:bCs/>
          <w:sz w:val="22"/>
          <w:szCs w:val="22"/>
        </w:rPr>
        <w:t xml:space="preserve">Complementary narrative example. </w:t>
      </w:r>
      <w:r>
        <w:rPr>
          <w:rFonts w:ascii="Georgia" w:cs="Georgia" w:eastAsia="Georgia" w:hAnsi="Georgia"/>
          <w:color w:val="1A1A1A"/>
          <w:sz w:val="22"/>
          <w:szCs w:val="22"/>
        </w:rPr>
        <w:t xml:space="preserve">A separate companion document (“Narrative Example: Tax Comparison for a $100K Earner”) captures the original conversation that produced this comparison work, archived as an example of how citizen questions surface platform additions.</w:t>
      </w:r>
    </w:p>
    <w:p>
      <w:pPr>
        <w:spacing w:after="200" w:line="320"/>
        <w:jc w:val="both"/>
      </w:pPr>
      <w:r>
        <w:rPr>
          <w:rFonts w:ascii="Georgia" w:cs="Georgia" w:eastAsia="Georgia" w:hAnsi="Georgia"/>
          <w:b/>
          <w:bCs/>
          <w:sz w:val="22"/>
          <w:szCs w:val="22"/>
        </w:rPr>
        <w:t xml:space="preserve">What didn't change. </w:t>
      </w:r>
      <w:r>
        <w:rPr>
          <w:rFonts w:ascii="Georgia" w:cs="Georgia" w:eastAsia="Georgia" w:hAnsi="Georgia"/>
          <w:color w:val="1A1A1A"/>
          <w:sz w:val="22"/>
          <w:szCs w:val="22"/>
        </w:rPr>
        <w:t xml:space="preserve">All existing documents remain at their previous versions. No claims, analyses, or architectural designs in existing pillars were modified. The package version increment from 1.5 to 1.6 reflects the addition of new content within the existing structure.</w:t>
      </w:r>
    </w:p>
    <w:p>
      <w:pPr>
        <w:pStyle w:val="Heading2"/>
        <w:spacing w:after="160" w:before="360"/>
      </w:pPr>
      <w:r>
        <w:rPr>
          <w:rFonts w:ascii="Arial" w:cs="Arial" w:eastAsia="Arial" w:hAnsi="Arial"/>
          <w:b/>
          <w:bCs/>
          <w:color w:val="1F4E78"/>
          <w:sz w:val="28"/>
          <w:szCs w:val="28"/>
        </w:rPr>
        <w:t xml:space="preserve">Version 1.5 — May 4, 2026</w:t>
      </w:r>
    </w:p>
    <w:p>
      <w:pPr>
        <w:spacing w:after="200" w:line="320"/>
        <w:jc w:val="both"/>
      </w:pPr>
      <w:r>
        <w:rPr>
          <w:rFonts w:ascii="Georgia" w:cs="Georgia" w:eastAsia="Georgia" w:hAnsi="Georgia"/>
          <w:b/>
          <w:bCs/>
          <w:sz w:val="22"/>
          <w:szCs w:val="22"/>
        </w:rPr>
        <w:t xml:space="preserve">Wage Floors as Tax Architecture document added. </w:t>
      </w:r>
      <w:r>
        <w:rPr>
          <w:rFonts w:ascii="Georgia" w:cs="Georgia" w:eastAsia="Georgia" w:hAnsi="Georgia"/>
          <w:color w:val="1A1A1A"/>
          <w:sz w:val="22"/>
          <w:szCs w:val="22"/>
        </w:rPr>
        <w:t xml:space="preserve">A new analytical framing document examining whether each occupation's wage floor could also serve as the federal income tax exemption threshold for workers in that occupation. The document walks through three possible interpretations of the proposal, demonstrates why the simplest version cannot fund the federal government (revenue collapse of approximately $1.87 trillion), and develops a modified version that preserves the political value while substantially solving the fiscal problem. The modified version uses the wage floor as a phased-out personal exemption (full to 1.5x floor, phasing out from 1.5x to 2.5x, gone above 2.5x) combined with high-earner surcharges, corporate rate restoration, capital gains reform, estate tax restoration, and carried interest closure. Even with all modifications, a $380B annual revenue gap remains and is honestly acknowledged.</w:t>
      </w:r>
    </w:p>
    <w:p>
      <w:pPr>
        <w:spacing w:after="200" w:line="320"/>
        <w:jc w:val="both"/>
      </w:pPr>
      <w:r>
        <w:rPr>
          <w:rFonts w:ascii="Georgia" w:cs="Georgia" w:eastAsia="Georgia" w:hAnsi="Georgia"/>
          <w:b/>
          <w:bCs/>
          <w:sz w:val="22"/>
          <w:szCs w:val="22"/>
        </w:rPr>
        <w:t xml:space="preserve">Why this matters. </w:t>
      </w:r>
      <w:r>
        <w:rPr>
          <w:rFonts w:ascii="Georgia" w:cs="Georgia" w:eastAsia="Georgia" w:hAnsi="Georgia"/>
          <w:color w:val="1A1A1A"/>
          <w:sz w:val="22"/>
          <w:szCs w:val="22"/>
        </w:rPr>
        <w:t xml:space="preserve">The proposal demonstrates how the platform's wage floor architecture has implications beyond wage policy itself. Connecting wage floors to tax liability would create a structural alignment of interests across all workers in any floor-covered occupation, expanding the political coalition for adequate wage floors from “workers below the floor” to “essentially the entire working population.” This is the fifth instance of citizen engagement producing substantive additions to the platform's architecture, after identity theft reduction, retroactive debt retirement, cognitive bandwidth restoration, information transparency, and now wage-floor-as-tax-architecture.</w:t>
      </w:r>
    </w:p>
    <w:p>
      <w:pPr>
        <w:spacing w:after="200" w:line="320"/>
        <w:jc w:val="both"/>
      </w:pPr>
      <w:r>
        <w:rPr>
          <w:rFonts w:ascii="Georgia" w:cs="Georgia" w:eastAsia="Georgia" w:hAnsi="Georgia"/>
          <w:b/>
          <w:bCs/>
          <w:sz w:val="22"/>
          <w:szCs w:val="22"/>
        </w:rPr>
        <w:t xml:space="preserve">What didn't change. </w:t>
      </w:r>
      <w:r>
        <w:rPr>
          <w:rFonts w:ascii="Georgia" w:cs="Georgia" w:eastAsia="Georgia" w:hAnsi="Georgia"/>
          <w:color w:val="1A1A1A"/>
          <w:sz w:val="22"/>
          <w:szCs w:val="22"/>
        </w:rPr>
        <w:t xml:space="preserve">All existing documents remain at their previous versions. No claims, analyses, or architectural designs in existing pillars were modified. The package version increment from 1.4 to 1.5 reflects the addition of new content within the existing structure.</w:t>
      </w:r>
    </w:p>
    <w:p>
      <w:pPr>
        <w:pStyle w:val="Heading2"/>
        <w:spacing w:after="160" w:before="360"/>
      </w:pPr>
      <w:r>
        <w:rPr>
          <w:rFonts w:ascii="Arial" w:cs="Arial" w:eastAsia="Arial" w:hAnsi="Arial"/>
          <w:b/>
          <w:bCs/>
          <w:color w:val="1F4E78"/>
          <w:sz w:val="28"/>
          <w:szCs w:val="28"/>
        </w:rPr>
        <w:t xml:space="preserve">Version 1.4 — May 4, 2026</w:t>
      </w:r>
    </w:p>
    <w:p>
      <w:pPr>
        <w:spacing w:after="200" w:line="320"/>
        <w:jc w:val="both"/>
      </w:pPr>
      <w:r>
        <w:rPr>
          <w:rFonts w:ascii="Georgia" w:cs="Georgia" w:eastAsia="Georgia" w:hAnsi="Georgia"/>
          <w:b/>
          <w:bCs/>
          <w:sz w:val="22"/>
          <w:szCs w:val="22"/>
        </w:rPr>
        <w:t xml:space="preserve">Implementation timeline document added: “The Path to Reality.” </w:t>
      </w:r>
      <w:r>
        <w:rPr>
          <w:rFonts w:ascii="Georgia" w:cs="Georgia" w:eastAsia="Georgia" w:hAnsi="Georgia"/>
          <w:color w:val="1A1A1A"/>
          <w:sz w:val="22"/>
          <w:szCs w:val="22"/>
        </w:rPr>
        <w:t xml:space="preserve">A new document describing what has to happen, when it has to happen, and who has to do what to make the platform real. Organized in two parts: a phase-by-phase implementation timeline (pre-enactment, Year 1 enactment, build phase Years 2-5, maturation phase Years 5-15, steady state Years 15+) and a stakeholder-by-stakeholder breakdown of requirements (citizens, companies, federal government, state governments, institutions, civil society organizations, the political coalition). Bridges the gap between the platform's analytical foundation and operational reality.</w:t>
      </w:r>
    </w:p>
    <w:p>
      <w:pPr>
        <w:spacing w:after="200" w:line="320"/>
        <w:jc w:val="both"/>
      </w:pPr>
      <w:r>
        <w:rPr>
          <w:rFonts w:ascii="Georgia" w:cs="Georgia" w:eastAsia="Georgia" w:hAnsi="Georgia"/>
          <w:b/>
          <w:bCs/>
          <w:sz w:val="22"/>
          <w:szCs w:val="22"/>
        </w:rPr>
        <w:t xml:space="preserve">Why this matters. </w:t>
      </w:r>
      <w:r>
        <w:rPr>
          <w:rFonts w:ascii="Georgia" w:cs="Georgia" w:eastAsia="Georgia" w:hAnsi="Georgia"/>
          <w:color w:val="1A1A1A"/>
          <w:sz w:val="22"/>
          <w:szCs w:val="22"/>
        </w:rPr>
        <w:t xml:space="preserve">The platform's previous documents established that the architecture works mathematically and articulated what the platform is for. This document establishes the path between current conditions and the platform's eventual realization. Without this document, citizens reading the platform package have a body of work but no clear sense of how it could become operational reality. With this document, they have an actionable framework for understanding their own potential contributions.</w:t>
      </w:r>
    </w:p>
    <w:p>
      <w:pPr>
        <w:spacing w:after="200" w:line="320"/>
        <w:jc w:val="both"/>
      </w:pPr>
      <w:r>
        <w:rPr>
          <w:rFonts w:ascii="Georgia" w:cs="Georgia" w:eastAsia="Georgia" w:hAnsi="Georgia"/>
          <w:b/>
          <w:bCs/>
          <w:sz w:val="22"/>
          <w:szCs w:val="22"/>
        </w:rPr>
        <w:t xml:space="preserve">What didn't change. </w:t>
      </w:r>
      <w:r>
        <w:rPr>
          <w:rFonts w:ascii="Georgia" w:cs="Georgia" w:eastAsia="Georgia" w:hAnsi="Georgia"/>
          <w:color w:val="1A1A1A"/>
          <w:sz w:val="22"/>
          <w:szCs w:val="22"/>
        </w:rPr>
        <w:t xml:space="preserve">All existing documents remain at their previous versions. No claims, analyses, or architectural designs in existing pillars were modified. The package version increment from 1.3 to 1.4 reflects the addition of new content within the existing structure.</w:t>
      </w:r>
    </w:p>
    <w:p>
      <w:pPr>
        <w:pStyle w:val="Heading2"/>
        <w:spacing w:after="160" w:before="360"/>
      </w:pPr>
      <w:r>
        <w:rPr>
          <w:rFonts w:ascii="Arial" w:cs="Arial" w:eastAsia="Arial" w:hAnsi="Arial"/>
          <w:b/>
          <w:bCs/>
          <w:color w:val="1F4E78"/>
          <w:sz w:val="28"/>
          <w:szCs w:val="28"/>
        </w:rPr>
        <w:t xml:space="preserve">Version 1.3 — May 3, 2026</w:t>
      </w:r>
    </w:p>
    <w:p>
      <w:pPr>
        <w:spacing w:after="200" w:line="320"/>
        <w:jc w:val="both"/>
      </w:pPr>
      <w:r>
        <w:rPr>
          <w:rFonts w:ascii="Georgia" w:cs="Georgia" w:eastAsia="Georgia" w:hAnsi="Georgia"/>
          <w:b/>
          <w:bCs/>
          <w:sz w:val="22"/>
          <w:szCs w:val="22"/>
        </w:rPr>
        <w:t xml:space="preserve">Strategic framing document added: “Unlocking America's Potential.” </w:t>
      </w:r>
      <w:r>
        <w:rPr>
          <w:rFonts w:ascii="Georgia" w:cs="Georgia" w:eastAsia="Georgia" w:hAnsi="Georgia"/>
          <w:color w:val="1A1A1A"/>
          <w:sz w:val="22"/>
          <w:szCs w:val="22"/>
        </w:rPr>
        <w:t xml:space="preserve">A new document articulating what the platform is for in terms that transcend any single policy domain. The document argues that the platform's deeper purpose is the restoration of American capability — freeing the cognitive bandwidth that the current architecture extracts through chronic financial stress, restoring the information transparency that the current architecture obscures, and producing the conditions under which Americans collectively become free to attempt what they're capable of. Anchored in cognitive bandwidth research (Mullainathan/Shafir scarcity findings) and historical precedent (postwar American innovation explosion). Positions the platform as an unleashing program rather than a redistribution program.</w:t>
      </w:r>
    </w:p>
    <w:p>
      <w:pPr>
        <w:spacing w:after="200" w:line="320"/>
        <w:jc w:val="both"/>
      </w:pPr>
      <w:r>
        <w:rPr>
          <w:rFonts w:ascii="Georgia" w:cs="Georgia" w:eastAsia="Georgia" w:hAnsi="Georgia"/>
          <w:b/>
          <w:bCs/>
          <w:sz w:val="22"/>
          <w:szCs w:val="22"/>
        </w:rPr>
        <w:t xml:space="preserve">Why this matters. </w:t>
      </w:r>
      <w:r>
        <w:rPr>
          <w:rFonts w:ascii="Georgia" w:cs="Georgia" w:eastAsia="Georgia" w:hAnsi="Georgia"/>
          <w:color w:val="1A1A1A"/>
          <w:sz w:val="22"/>
          <w:szCs w:val="22"/>
        </w:rPr>
        <w:t xml:space="preserve">The platform now has three legitimate strategic framings: shared prosperity (the original framing, in the manifesto), AI workforce transition (“Built For What's Coming”), and unleashing American capability (this new document). The third framing speaks to audiences the first two don't reach — conservatives who care about American greatness, libertarians who care about individual freedom, centrists who care about historical continuity, business leaders who care about workforce capability, educators who care about intellectual freedom. It also addresses the dependency concern that critics raise about universal infrastructure programs by arguing the opposite: the current architecture is what suppresses individual initiative, and universal infrastructure is what would restore it.</w:t>
      </w:r>
    </w:p>
    <w:p>
      <w:pPr>
        <w:spacing w:after="200" w:line="320"/>
        <w:jc w:val="both"/>
      </w:pPr>
      <w:r>
        <w:rPr>
          <w:rFonts w:ascii="Georgia" w:cs="Georgia" w:eastAsia="Georgia" w:hAnsi="Georgia"/>
          <w:b/>
          <w:bCs/>
          <w:sz w:val="22"/>
          <w:szCs w:val="22"/>
        </w:rPr>
        <w:t xml:space="preserve">Articulation of the compound benefits pattern. </w:t>
      </w:r>
      <w:r>
        <w:rPr>
          <w:rFonts w:ascii="Georgia" w:cs="Georgia" w:eastAsia="Georgia" w:hAnsi="Georgia"/>
          <w:color w:val="1A1A1A"/>
          <w:sz w:val="22"/>
          <w:szCs w:val="22"/>
        </w:rPr>
        <w:t xml:space="preserve">The new document also makes explicit a pattern that has emerged across recent platform additions: identity theft reduction, retroactive debt retirement, and cognitive bandwidth restoration are all benefits the platform produces that the original architecture didn't explicitly aim for. The recurrence of this pattern — unrelated benefits emerging from the same underlying architectural choices — is itself evidence about the platform's architectural soundness.</w:t>
      </w:r>
    </w:p>
    <w:p>
      <w:pPr>
        <w:spacing w:after="200" w:line="320"/>
        <w:jc w:val="both"/>
      </w:pPr>
      <w:r>
        <w:rPr>
          <w:rFonts w:ascii="Georgia" w:cs="Georgia" w:eastAsia="Georgia" w:hAnsi="Georgia"/>
          <w:b/>
          <w:bCs/>
          <w:sz w:val="22"/>
          <w:szCs w:val="22"/>
        </w:rPr>
        <w:t xml:space="preserve">What didn't change. </w:t>
      </w:r>
      <w:r>
        <w:rPr>
          <w:rFonts w:ascii="Georgia" w:cs="Georgia" w:eastAsia="Georgia" w:hAnsi="Georgia"/>
          <w:color w:val="1A1A1A"/>
          <w:sz w:val="22"/>
          <w:szCs w:val="22"/>
        </w:rPr>
        <w:t xml:space="preserve">All existing documents remain at their previous versions. No claims, analyses, or architectural designs in existing pillars were modified. The package version increment from 1.2 to 1.3 reflects the addition of new content within the existing structure rather than revision of existing content.</w:t>
      </w:r>
    </w:p>
    <w:p>
      <w:pPr>
        <w:pStyle w:val="Heading2"/>
        <w:spacing w:after="160" w:before="360"/>
      </w:pPr>
      <w:r>
        <w:rPr>
          <w:rFonts w:ascii="Arial" w:cs="Arial" w:eastAsia="Arial" w:hAnsi="Arial"/>
          <w:b/>
          <w:bCs/>
          <w:color w:val="1F4E78"/>
          <w:sz w:val="28"/>
          <w:szCs w:val="28"/>
        </w:rPr>
        <w:t xml:space="preserve">Version 1.2 — May 3, 2026</w:t>
      </w:r>
    </w:p>
    <w:p>
      <w:pPr>
        <w:spacing w:after="200" w:line="320"/>
        <w:jc w:val="both"/>
      </w:pPr>
      <w:r>
        <w:rPr>
          <w:rFonts w:ascii="Georgia" w:cs="Georgia" w:eastAsia="Georgia" w:hAnsi="Georgia"/>
          <w:b/>
          <w:bCs/>
          <w:sz w:val="22"/>
          <w:szCs w:val="22"/>
        </w:rPr>
        <w:t xml:space="preserve">Retroactive debt retirement analysis added. </w:t>
      </w:r>
      <w:r>
        <w:rPr>
          <w:rFonts w:ascii="Georgia" w:cs="Georgia" w:eastAsia="Georgia" w:hAnsi="Georgia"/>
          <w:color w:val="1A1A1A"/>
          <w:sz w:val="22"/>
          <w:szCs w:val="22"/>
        </w:rPr>
        <w:t xml:space="preserve">A new analytical framing document (“Repairing the Past”) added to address whether the platform's surplus capacity can retire existing student loan and medical debt retroactively as the platform matures. The analysis demonstrates that the platform's mathematics support retiring approximately $1.78 trillion in student loan debt across 20 years using Sovereign Fund disbursement capacity, plus $220 billion in medical debt within 5 years using healthcare pillar surplus, all without requiring new contribution rates or revenue sources.</w:t>
      </w:r>
    </w:p>
    <w:p>
      <w:pPr>
        <w:spacing w:after="200" w:line="320"/>
        <w:jc w:val="both"/>
      </w:pPr>
      <w:r>
        <w:rPr>
          <w:rFonts w:ascii="Georgia" w:cs="Georgia" w:eastAsia="Georgia" w:hAnsi="Georgia"/>
          <w:b/>
          <w:bCs/>
          <w:sz w:val="22"/>
          <w:szCs w:val="22"/>
        </w:rPr>
        <w:t xml:space="preserve">Why this matters. </w:t>
      </w:r>
      <w:r>
        <w:rPr>
          <w:rFonts w:ascii="Georgia" w:cs="Georgia" w:eastAsia="Georgia" w:hAnsi="Georgia"/>
          <w:color w:val="1A1A1A"/>
          <w:sz w:val="22"/>
          <w:szCs w:val="22"/>
        </w:rPr>
        <w:t xml:space="preserve">The platform was originally designed as forward-looking infrastructure to prevent future harms. The retroactive debt retirement analysis reveals that the platform's surplus capacity can also address harms accumulated under the system the platform replaces. Approximately 100 million Americans with medical debt and 46 million Americans with student loan debt could see retroactive relief through phased retirement programs funded by the platform's existing mechanisms. This expands the platform's political coalition by extending benefits to populations the original architecture didn't explicitly serve.</w:t>
      </w:r>
    </w:p>
    <w:p>
      <w:pPr>
        <w:spacing w:after="200" w:line="320"/>
        <w:jc w:val="both"/>
      </w:pPr>
      <w:r>
        <w:rPr>
          <w:rFonts w:ascii="Georgia" w:cs="Georgia" w:eastAsia="Georgia" w:hAnsi="Georgia"/>
          <w:b/>
          <w:bCs/>
          <w:sz w:val="22"/>
          <w:szCs w:val="22"/>
        </w:rPr>
        <w:t xml:space="preserve">What didn't change. </w:t>
      </w:r>
      <w:r>
        <w:rPr>
          <w:rFonts w:ascii="Georgia" w:cs="Georgia" w:eastAsia="Georgia" w:hAnsi="Georgia"/>
          <w:color w:val="1A1A1A"/>
          <w:sz w:val="22"/>
          <w:szCs w:val="22"/>
        </w:rPr>
        <w:t xml:space="preserve">All existing documents remain at their previous versions. No claims, analyses, or architectural designs in the existing pillars were modified. The package version increment from 1.1 to 1.2 reflects the addition of new content within the existing structure rather than revision of existing content.</w:t>
      </w:r>
    </w:p>
    <w:p>
      <w:pPr>
        <w:pStyle w:val="Heading2"/>
        <w:spacing w:after="160" w:before="360"/>
      </w:pPr>
      <w:r>
        <w:rPr>
          <w:rFonts w:ascii="Arial" w:cs="Arial" w:eastAsia="Arial" w:hAnsi="Arial"/>
          <w:b/>
          <w:bCs/>
          <w:color w:val="1F4E78"/>
          <w:sz w:val="28"/>
          <w:szCs w:val="28"/>
        </w:rPr>
        <w:t xml:space="preserve">Version 1.1 — May 3, 2026</w:t>
      </w:r>
    </w:p>
    <w:p>
      <w:pPr>
        <w:spacing w:after="200" w:line="320"/>
        <w:jc w:val="both"/>
      </w:pPr>
      <w:r>
        <w:rPr>
          <w:rFonts w:ascii="Georgia" w:cs="Georgia" w:eastAsia="Georgia" w:hAnsi="Georgia"/>
          <w:b/>
          <w:bCs/>
          <w:sz w:val="22"/>
          <w:szCs w:val="22"/>
        </w:rPr>
        <w:t xml:space="preserve">AI specifications added to provenance document. </w:t>
      </w:r>
      <w:r>
        <w:rPr>
          <w:rFonts w:ascii="Georgia" w:cs="Georgia" w:eastAsia="Georgia" w:hAnsi="Georgia"/>
          <w:color w:val="1A1A1A"/>
          <w:sz w:val="22"/>
          <w:szCs w:val="22"/>
        </w:rPr>
        <w:t xml:space="preserve">The provenance document (“How This Was Built”) was extended with a new section documenting the specific AI used in developing the platform: Claude Opus 4.7, with knowledge cutoff at end of January 2026, accessed through Claude.ai with code execution and file system tools. The section explains why these specifications matter for reproducibility, claim verification, evaluating AI assistance generally, and honest acknowledgment of limitations. The provenance document moves from v1.0 to v1.1 to reflect this content addition.</w:t>
      </w:r>
    </w:p>
    <w:p>
      <w:pPr>
        <w:spacing w:after="200" w:line="320"/>
        <w:jc w:val="both"/>
      </w:pPr>
      <w:r>
        <w:rPr>
          <w:rFonts w:ascii="Georgia" w:cs="Georgia" w:eastAsia="Georgia" w:hAnsi="Georgia"/>
          <w:b/>
          <w:bCs/>
          <w:sz w:val="22"/>
          <w:szCs w:val="22"/>
        </w:rPr>
        <w:t xml:space="preserve">Why this matters. </w:t>
      </w:r>
      <w:r>
        <w:rPr>
          <w:rFonts w:ascii="Georgia" w:cs="Georgia" w:eastAsia="Georgia" w:hAnsi="Georgia"/>
          <w:color w:val="1A1A1A"/>
          <w:sz w:val="22"/>
          <w:szCs w:val="22"/>
        </w:rPr>
        <w:t xml:space="preserve">The platform's transparency commitment is strengthened by documenting not just that AI assistance was used but specifically which AI and what its capabilities were. Saying “AI was used” is not the same as saying “Claude Opus 4.7 was used in May 2026 with the following tool access and the following knowledge cutoff.” The first is a vague gesture toward transparency. The second is transparency. This update brings the provenance documentation up to that higher standard.</w:t>
      </w:r>
    </w:p>
    <w:p>
      <w:pPr>
        <w:spacing w:after="200" w:line="320"/>
        <w:jc w:val="both"/>
      </w:pPr>
      <w:r>
        <w:rPr>
          <w:rFonts w:ascii="Georgia" w:cs="Georgia" w:eastAsia="Georgia" w:hAnsi="Georgia"/>
          <w:b/>
          <w:bCs/>
          <w:sz w:val="22"/>
          <w:szCs w:val="22"/>
        </w:rPr>
        <w:t xml:space="preserve">What didn't change. </w:t>
      </w:r>
      <w:r>
        <w:rPr>
          <w:rFonts w:ascii="Georgia" w:cs="Georgia" w:eastAsia="Georgia" w:hAnsi="Georgia"/>
          <w:color w:val="1A1A1A"/>
          <w:sz w:val="22"/>
          <w:szCs w:val="22"/>
        </w:rPr>
        <w:t xml:space="preserve">All other documents in the package remain at v1.0. No claims, analyses, or architectural designs were modified. The package version increment is from 1.0 to 1.1 because new content was added within the existing structure rather than because the existing structure was revised.</w:t>
      </w:r>
    </w:p>
    <w:p>
      <w:pPr>
        <w:pStyle w:val="Heading2"/>
        <w:spacing w:after="160" w:before="360"/>
      </w:pPr>
      <w:r>
        <w:rPr>
          <w:rFonts w:ascii="Arial" w:cs="Arial" w:eastAsia="Arial" w:hAnsi="Arial"/>
          <w:b/>
          <w:bCs/>
          <w:color w:val="1F4E78"/>
          <w:sz w:val="28"/>
          <w:szCs w:val="28"/>
        </w:rPr>
        <w:t xml:space="preserve">Version 1.0 — May 3, 2026</w:t>
      </w:r>
    </w:p>
    <w:p>
      <w:pPr>
        <w:spacing w:after="200" w:line="320"/>
        <w:jc w:val="both"/>
      </w:pPr>
      <w:r>
        <w:rPr>
          <w:rFonts w:ascii="Georgia" w:cs="Georgia" w:eastAsia="Georgia" w:hAnsi="Georgia"/>
          <w:b/>
          <w:bCs/>
          <w:sz w:val="22"/>
          <w:szCs w:val="22"/>
        </w:rPr>
        <w:t xml:space="preserve">Initial formal package release. </w:t>
      </w:r>
      <w:r>
        <w:rPr>
          <w:rFonts w:ascii="Georgia" w:cs="Georgia" w:eastAsia="Georgia" w:hAnsi="Georgia"/>
          <w:color w:val="1A1A1A"/>
          <w:sz w:val="22"/>
          <w:szCs w:val="22"/>
        </w:rPr>
        <w:t xml:space="preserve">All documents brought to v1.0 status. The package transitions from working drafts to a coherent published collection with formal version control.</w:t>
      </w:r>
    </w:p>
    <w:p>
      <w:pPr>
        <w:pStyle w:val="Heading3"/>
        <w:spacing w:after="120" w:before="240"/>
      </w:pPr>
      <w:r>
        <w:rPr>
          <w:rFonts w:ascii="Arial" w:cs="Arial" w:eastAsia="Arial" w:hAnsi="Arial"/>
          <w:b/>
          <w:bCs/>
          <w:color w:val="C00000"/>
          <w:sz w:val="22"/>
          <w:szCs w:val="22"/>
        </w:rPr>
        <w:t xml:space="preserve">What's included at v1.0</w:t>
      </w:r>
    </w:p>
    <w:p>
      <w:pPr>
        <w:spacing w:after="200" w:line="320"/>
        <w:jc w:val="both"/>
      </w:pPr>
      <w:r>
        <w:rPr>
          <w:rFonts w:ascii="Georgia" w:cs="Georgia" w:eastAsia="Georgia" w:hAnsi="Georgia"/>
          <w:color w:val="1A1A1A"/>
          <w:sz w:val="22"/>
          <w:szCs w:val="22"/>
        </w:rPr>
        <w:t xml:space="preserve">The complete package as documented in the manifest above. Three primary pillars at full analytical maturity (Community Contribution Plan, Empirical Wage Floors, Sovereign Education Fund). Three adjacent pillars at concept level with mathematical models (Universal Healthcare, Universal Childcare, Universal Mental Health). Two concept-level pillars with architectural design but lighter analytical foundation (Civic Infrastructure, Future Capacity Fund). Strategic framing documents addressing AI workforce transition and tax impact. Honest provenance documentation. Future state milestones. Identity theft reduction analysis. Reader's guide and navigation. Slideshow presentation in two formats.</w:t>
      </w:r>
    </w:p>
    <w:p>
      <w:pPr>
        <w:pStyle w:val="Heading3"/>
        <w:spacing w:after="120" w:before="240"/>
      </w:pPr>
      <w:r>
        <w:rPr>
          <w:rFonts w:ascii="Arial" w:cs="Arial" w:eastAsia="Arial" w:hAnsi="Arial"/>
          <w:b/>
          <w:bCs/>
          <w:color w:val="C00000"/>
          <w:sz w:val="22"/>
          <w:szCs w:val="22"/>
        </w:rPr>
        <w:t xml:space="preserve">What changed in the work leading to v1.0</w:t>
      </w:r>
    </w:p>
    <w:p>
      <w:pPr>
        <w:spacing w:after="200" w:line="320"/>
        <w:jc w:val="both"/>
      </w:pPr>
      <w:r>
        <w:rPr>
          <w:rFonts w:ascii="Georgia" w:cs="Georgia" w:eastAsia="Georgia" w:hAnsi="Georgia"/>
          <w:b/>
          <w:bCs/>
          <w:sz w:val="22"/>
          <w:szCs w:val="22"/>
        </w:rPr>
        <w:t xml:space="preserve">From conversation drafts to formal package. </w:t>
      </w:r>
      <w:r>
        <w:rPr>
          <w:rFonts w:ascii="Georgia" w:cs="Georgia" w:eastAsia="Georgia" w:hAnsi="Georgia"/>
          <w:color w:val="1A1A1A"/>
          <w:sz w:val="22"/>
          <w:szCs w:val="22"/>
        </w:rPr>
        <w:t xml:space="preserve">All documents were developed iteratively across an extended conversation, with multiple revision cycles for the documents that received the most attention. The v1.0 release marks the point where the package stopped being working-draft material and became a coherent published collection.</w:t>
      </w:r>
    </w:p>
    <w:p>
      <w:pPr>
        <w:spacing w:after="200" w:line="320"/>
        <w:jc w:val="both"/>
      </w:pPr>
      <w:r>
        <w:rPr>
          <w:rFonts w:ascii="Georgia" w:cs="Georgia" w:eastAsia="Georgia" w:hAnsi="Georgia"/>
          <w:b/>
          <w:bCs/>
          <w:sz w:val="22"/>
          <w:szCs w:val="22"/>
        </w:rPr>
        <w:t xml:space="preserve">Versioning and metadata applied package-wide. </w:t>
      </w:r>
      <w:r>
        <w:rPr>
          <w:rFonts w:ascii="Georgia" w:cs="Georgia" w:eastAsia="Georgia" w:hAnsi="Georgia"/>
          <w:color w:val="1A1A1A"/>
          <w:sz w:val="22"/>
          <w:szCs w:val="22"/>
        </w:rPr>
        <w:t xml:space="preserve">Every document received cover page version metadata (version number, creation date, last update date) and a three-column page footer showing document title, version, page number, and update date.</w:t>
      </w:r>
    </w:p>
    <w:p>
      <w:pPr>
        <w:spacing w:after="200" w:line="320"/>
        <w:jc w:val="both"/>
      </w:pPr>
      <w:r>
        <w:rPr>
          <w:rFonts w:ascii="Georgia" w:cs="Georgia" w:eastAsia="Georgia" w:hAnsi="Georgia"/>
          <w:b/>
          <w:bCs/>
          <w:sz w:val="22"/>
          <w:szCs w:val="22"/>
        </w:rPr>
        <w:t xml:space="preserve">Author name finalized. </w:t>
      </w:r>
      <w:r>
        <w:rPr>
          <w:rFonts w:ascii="Georgia" w:cs="Georgia" w:eastAsia="Georgia" w:hAnsi="Georgia"/>
          <w:color w:val="1A1A1A"/>
          <w:sz w:val="22"/>
          <w:szCs w:val="22"/>
        </w:rPr>
        <w:t xml:space="preserve">All documents updated to reflect Jason Robertson as the author rather than the placeholder used during development.</w:t>
      </w:r>
    </w:p>
    <w:p>
      <w:pPr>
        <w:spacing w:after="200" w:line="320"/>
        <w:jc w:val="both"/>
      </w:pPr>
      <w:r>
        <w:rPr>
          <w:rFonts w:ascii="Georgia" w:cs="Georgia" w:eastAsia="Georgia" w:hAnsi="Georgia"/>
          <w:b/>
          <w:bCs/>
          <w:sz w:val="22"/>
          <w:szCs w:val="22"/>
        </w:rPr>
        <w:t xml:space="preserve">Identity theft analysis added. </w:t>
      </w:r>
      <w:r>
        <w:rPr>
          <w:rFonts w:ascii="Georgia" w:cs="Georgia" w:eastAsia="Georgia" w:hAnsi="Georgia"/>
          <w:color w:val="1A1A1A"/>
          <w:sz w:val="22"/>
          <w:szCs w:val="22"/>
        </w:rPr>
        <w:t xml:space="preserve">A new analytical framing document (Identity Theft Reduction) added to address an unexpected benefit the platform produces — substantial reduction in identity theft losses through architectural simplification rather than enforcement improvements. Estimated reduction of $25-35 billion in annual direct fraud losses.</w:t>
      </w:r>
    </w:p>
    <w:p>
      <w:pPr>
        <w:spacing w:after="200" w:line="320"/>
        <w:jc w:val="both"/>
      </w:pPr>
      <w:r>
        <w:rPr>
          <w:rFonts w:ascii="Georgia" w:cs="Georgia" w:eastAsia="Georgia" w:hAnsi="Georgia"/>
          <w:b/>
          <w:bCs/>
          <w:sz w:val="22"/>
          <w:szCs w:val="22"/>
        </w:rPr>
        <w:t xml:space="preserve">Reader's guide created. </w:t>
      </w:r>
      <w:r>
        <w:rPr>
          <w:rFonts w:ascii="Georgia" w:cs="Georgia" w:eastAsia="Georgia" w:hAnsi="Georgia"/>
          <w:color w:val="1A1A1A"/>
          <w:sz w:val="22"/>
          <w:szCs w:val="22"/>
        </w:rPr>
        <w:t xml:space="preserve">Navigation document added to support readers in finding the right entry point into the package. Includes reading paths organized by audience type (15-minute reader, policy professional, skeptic, supporter, elected official, researcher) and brief summaries of every document.</w:t>
      </w:r>
    </w:p>
    <w:p>
      <w:pPr>
        <w:pStyle w:val="Heading3"/>
        <w:spacing w:after="120" w:before="240"/>
      </w:pPr>
      <w:r>
        <w:rPr>
          <w:rFonts w:ascii="Arial" w:cs="Arial" w:eastAsia="Arial" w:hAnsi="Arial"/>
          <w:b/>
          <w:bCs/>
          <w:color w:val="C00000"/>
          <w:sz w:val="22"/>
          <w:szCs w:val="22"/>
        </w:rPr>
        <w:t xml:space="preserve">Documents that went through significant iteration before v1.0</w:t>
      </w:r>
    </w:p>
    <w:p>
      <w:pPr>
        <w:spacing w:after="200" w:line="320"/>
        <w:jc w:val="both"/>
      </w:pPr>
      <w:r>
        <w:rPr>
          <w:rFonts w:ascii="Georgia" w:cs="Georgia" w:eastAsia="Georgia" w:hAnsi="Georgia"/>
          <w:color w:val="1A1A1A"/>
          <w:sz w:val="22"/>
          <w:szCs w:val="22"/>
        </w:rPr>
        <w:t xml:space="preserve">Several documents went through multiple substantive revisions during development. The Platform Manifesto was rewritten to incorporate the cost-based pricing framework, the field-of-study formula, the two-channel disbursement architecture, and the age-30 reversion mechanism after each was developed. The Education Fund Cost-Based Pricing Model added the Field-of-Study Pricing sheet and Operational Mechanics sheet during development. The slideshow went through visual QA iterations to fix slide layout issues, missing icons, and text wrapping. The Wage Floor Concept Analysis went through versions 0.1 and 0.2 before stabilizing at v1.0. These iterative improvements are not separately versioned in this changelog because they happened within the development process leading to v1.0 — they're recorded here for transparency about how the work matured.</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“Version 1.0 is the first formal release. It is not a finished product. It is the point at which the package became coherent enough to share, evaluate, and refine in dialogue with serious readers.”</w:t>
            </w:r>
          </w:p>
        </w:tc>
      </w:tr>
    </w:tbl>
    <w:p>
      <w:r>
        <w:br w:type="page"/>
      </w:r>
    </w:p>
    <w:p>
      <w:pPr>
        <w:pStyle w:val="Heading2"/>
        <w:spacing w:after="160" w:before="360"/>
      </w:pPr>
      <w:r>
        <w:rPr>
          <w:rFonts w:ascii="Arial" w:cs="Arial" w:eastAsia="Arial" w:hAnsi="Arial"/>
          <w:b/>
          <w:bCs/>
          <w:color w:val="1F4E78"/>
          <w:sz w:val="28"/>
          <w:szCs w:val="28"/>
        </w:rPr>
        <w:t xml:space="preserve">Version 0 — April 30 to May 3, 2026</w:t>
      </w:r>
    </w:p>
    <w:p>
      <w:pPr>
        <w:spacing w:after="200" w:line="320"/>
        <w:jc w:val="both"/>
      </w:pPr>
      <w:r>
        <w:rPr>
          <w:rFonts w:ascii="Georgia" w:cs="Georgia" w:eastAsia="Georgia" w:hAnsi="Georgia"/>
          <w:b/>
          <w:bCs/>
          <w:sz w:val="22"/>
          <w:szCs w:val="22"/>
        </w:rPr>
        <w:t xml:space="preserve">Pre-versioning development period. </w:t>
      </w:r>
      <w:r>
        <w:rPr>
          <w:rFonts w:ascii="Georgia" w:cs="Georgia" w:eastAsia="Georgia" w:hAnsi="Georgia"/>
          <w:color w:val="1A1A1A"/>
          <w:sz w:val="22"/>
          <w:szCs w:val="22"/>
        </w:rPr>
        <w:t xml:space="preserve">The work that became v1.0 didn't begin as a versioned release. It began as a single conversational question and grew organically into a multi-document platform package over roughly three days. This entry documents that development arc for transparency about how the platform actually came into existence.</w:t>
      </w:r>
    </w:p>
    <w:p>
      <w:pPr>
        <w:pStyle w:val="Heading3"/>
        <w:spacing w:after="120" w:before="240"/>
      </w:pPr>
      <w:r>
        <w:rPr>
          <w:rFonts w:ascii="Arial" w:cs="Arial" w:eastAsia="Arial" w:hAnsi="Arial"/>
          <w:b/>
          <w:bCs/>
          <w:color w:val="C00000"/>
          <w:sz w:val="22"/>
          <w:szCs w:val="22"/>
        </w:rPr>
        <w:t xml:space="preserve">The opening question (April 30, 2026)</w:t>
      </w:r>
    </w:p>
    <w:p>
      <w:pPr>
        <w:spacing w:after="200" w:line="320"/>
        <w:jc w:val="both"/>
      </w:pPr>
      <w:r>
        <w:rPr>
          <w:rFonts w:ascii="Georgia" w:cs="Georgia" w:eastAsia="Georgia" w:hAnsi="Georgia"/>
          <w:color w:val="1A1A1A"/>
          <w:sz w:val="22"/>
          <w:szCs w:val="22"/>
        </w:rPr>
        <w:t xml:space="preserve">The first prompt in the conversation was: “I have an idea to start a new political party called ‘We The People’. This new party will be the common sense party. What would it take to create this?” The initial response covered ballot access requirements, FEC registration, state-level variation, and the structural challenge of forming a third party in a system designed for two. The response included an honest acknowledgment that “common sense” stops being a unifying brand once concrete positions are written down.</w:t>
      </w:r>
    </w:p>
    <w:p>
      <w:pPr>
        <w:pStyle w:val="Heading3"/>
        <w:spacing w:after="120" w:before="240"/>
      </w:pPr>
      <w:r>
        <w:rPr>
          <w:rFonts w:ascii="Arial" w:cs="Arial" w:eastAsia="Arial" w:hAnsi="Arial"/>
          <w:b/>
          <w:bCs/>
          <w:color w:val="C00000"/>
          <w:sz w:val="22"/>
          <w:szCs w:val="22"/>
        </w:rPr>
        <w:t xml:space="preserve">The pivot to policy substance (April 30)</w:t>
      </w:r>
    </w:p>
    <w:p>
      <w:pPr>
        <w:spacing w:after="200" w:line="320"/>
        <w:jc w:val="both"/>
      </w:pPr>
      <w:r>
        <w:rPr>
          <w:rFonts w:ascii="Georgia" w:cs="Georgia" w:eastAsia="Georgia" w:hAnsi="Georgia"/>
          <w:color w:val="1A1A1A"/>
          <w:sz w:val="22"/>
          <w:szCs w:val="22"/>
        </w:rPr>
        <w:t xml:space="preserve">Rather than continuing on party formation mechanics, the conversation pivoted to substantive policy with a question about phasing out Social Security with grandfathering and tax credits for those who would no longer qualify under the existing rules. This question became the seed for the entire retirement reform pillar. Subsequent prompts asked about calculating an “equilibrium phase out time period,” which led to the first mathematical model: the Social Security Sunset Equilibrium Model.</w:t>
      </w:r>
    </w:p>
    <w:p>
      <w:pPr>
        <w:pStyle w:val="Heading3"/>
        <w:spacing w:after="120" w:before="240"/>
      </w:pPr>
      <w:r>
        <w:rPr>
          <w:rFonts w:ascii="Arial" w:cs="Arial" w:eastAsia="Arial" w:hAnsi="Arial"/>
          <w:b/>
          <w:bCs/>
          <w:color w:val="C00000"/>
          <w:sz w:val="22"/>
          <w:szCs w:val="22"/>
        </w:rPr>
        <w:t xml:space="preserve">Expansion into multiple pillars (April 30 to May 2)</w:t>
      </w:r>
    </w:p>
    <w:p>
      <w:pPr>
        <w:spacing w:after="200" w:line="320"/>
        <w:jc w:val="both"/>
      </w:pPr>
      <w:r>
        <w:rPr>
          <w:rFonts w:ascii="Georgia" w:cs="Georgia" w:eastAsia="Georgia" w:hAnsi="Georgia"/>
          <w:color w:val="1A1A1A"/>
          <w:sz w:val="22"/>
          <w:szCs w:val="22"/>
        </w:rPr>
        <w:t xml:space="preserve">The conversation expanded organically into adjacent territory. Each new question produced new analytical work: wage floor analysis using BLS Occupational Employment and Wage Statistics data covering 81 broad occupations and 82M workers at the 25th percentile; education funding architecture using a Sovereign Education Fund concept with cost-based pricing review, field-of-study formulas, and two-channel disbursement; healthcare reform using a multi-payer architecture with universal access at $9,500 per capita target; childcare reform using the Quebec model with 12-year buildout and $10/day cap; mental health access expansion with workforce capacity analysis; and the proof-of-concept fund demonstrating how the platform's principles operate at small scale before national implementation.</w:t>
      </w:r>
    </w:p>
    <w:p>
      <w:pPr>
        <w:spacing w:after="200" w:line="320"/>
        <w:jc w:val="both"/>
      </w:pPr>
      <w:r>
        <w:rPr>
          <w:rFonts w:ascii="Georgia" w:cs="Georgia" w:eastAsia="Georgia" w:hAnsi="Georgia"/>
          <w:color w:val="1A1A1A"/>
          <w:sz w:val="22"/>
          <w:szCs w:val="22"/>
        </w:rPr>
        <w:t xml:space="preserve">By the end of May 2, approximately 14-20 documents existed: Word manifestos, white papers, concept analyses, and Excel mathematical models. They weren't yet packaged or versioned — they were a collection of related files in the outputs directory.</w:t>
      </w:r>
    </w:p>
    <w:p>
      <w:pPr>
        <w:pStyle w:val="Heading3"/>
        <w:spacing w:after="120" w:before="240"/>
      </w:pPr>
      <w:r>
        <w:rPr>
          <w:rFonts w:ascii="Arial" w:cs="Arial" w:eastAsia="Arial" w:hAnsi="Arial"/>
          <w:b/>
          <w:bCs/>
          <w:color w:val="C00000"/>
          <w:sz w:val="22"/>
          <w:szCs w:val="22"/>
        </w:rPr>
        <w:t xml:space="preserve">Initial formal release (May 3)</w:t>
      </w:r>
    </w:p>
    <w:p>
      <w:pPr>
        <w:spacing w:after="200" w:line="320"/>
        <w:jc w:val="both"/>
      </w:pPr>
      <w:r>
        <w:rPr>
          <w:rFonts w:ascii="Georgia" w:cs="Georgia" w:eastAsia="Georgia" w:hAnsi="Georgia"/>
          <w:color w:val="1A1A1A"/>
          <w:sz w:val="22"/>
          <w:szCs w:val="22"/>
        </w:rPr>
        <w:t xml:space="preserve">The decision to formalize the work into a versioned package came on May 3. This involved organizing the existing documents into a 6-folder structure (Start_Here, Vision_and_Communication, Technical_White_Papers, Mathematical_Models, Analytical_Framing, Presentation_Materials), adding documents to fill identified gaps (Reader's Guide, Package Version manifest, 16-slide overview slideshow, How_This_Was_Built provenance document, Built_For_Whats_Coming AI workforce transition document, Civic_Infrastructure_Pillar concept document, Future_Capacity_Fund document, and Founding_Stake document), and adding analytical framing documents for specific reader questions (Does_This_Raise_Taxes, What_Changes_Milestones, Identity_Theft_Reduction). The result was the 26-file package across 6 categories that became v1.0.</w:t>
      </w:r>
    </w:p>
    <w:p>
      <w:pPr>
        <w:pStyle w:val="Heading3"/>
        <w:spacing w:after="120" w:before="240"/>
      </w:pPr>
      <w:r>
        <w:rPr>
          <w:rFonts w:ascii="Arial" w:cs="Arial" w:eastAsia="Arial" w:hAnsi="Arial"/>
          <w:b/>
          <w:bCs/>
          <w:color w:val="C00000"/>
          <w:sz w:val="22"/>
          <w:szCs w:val="22"/>
        </w:rPr>
        <w:t xml:space="preserve">Why this is documented here</w:t>
      </w:r>
    </w:p>
    <w:p>
      <w:pPr>
        <w:spacing w:after="200" w:line="320"/>
        <w:jc w:val="both"/>
      </w:pPr>
      <w:r>
        <w:rPr>
          <w:rFonts w:ascii="Georgia" w:cs="Georgia" w:eastAsia="Georgia" w:hAnsi="Georgia"/>
          <w:color w:val="1A1A1A"/>
          <w:sz w:val="22"/>
          <w:szCs w:val="22"/>
        </w:rPr>
        <w:t xml:space="preserve">The transition from “ad-hoc collection of files” to “formal versioned package” was a real moment in the platform's development, but it didn't mark the beginning of the work. The actual beginning was a single question about forming a political party, three days earlier. Documenting that arc matters because readers should understand the platform grew from a citizen question rather than from a top-down design process; the pre-v1.0 work was substantial — most of the platform's analytical foundation was built before formal versioning began; and the pattern of citizen questions producing platform additions (which continued through subsequent versions) was already established before v1.0.</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“V0 is the period when the platform was being built but didn't yet know it was a platform. The work was real; the version label came later.”</w:t>
            </w:r>
          </w:p>
        </w:tc>
      </w:tr>
    </w:tbl>
    <w:p>
      <w:r>
        <w:br w:type="page"/>
      </w:r>
    </w:p>
    <w:p>
      <w:pPr>
        <w:pStyle w:val="Heading1"/>
        <w:spacing w:after="240" w:before="480"/>
      </w:pPr>
      <w:r>
        <w:rPr>
          <w:rFonts w:ascii="Arial" w:cs="Arial" w:eastAsia="Arial" w:hAnsi="Arial"/>
          <w:b/>
          <w:bCs/>
          <w:color w:val="1F4E78"/>
          <w:sz w:val="36"/>
          <w:szCs w:val="36"/>
        </w:rPr>
        <w:t xml:space="preserve">How Future Versions Will Work</w:t>
      </w:r>
    </w:p>
    <w:p>
      <w:pPr>
        <w:spacing w:after="240" w:line="340"/>
        <w:jc w:val="both"/>
      </w:pPr>
      <w:r>
        <w:rPr>
          <w:rFonts w:ascii="Georgia" w:cs="Georgia" w:eastAsia="Georgia" w:hAnsi="Georgia"/>
          <w:color w:val="1A1A1A"/>
          <w:sz w:val="24"/>
          <w:szCs w:val="24"/>
        </w:rPr>
        <w:t xml:space="preserve">The package is expected to evolve through engagement with serious readers, refinement based on substantive critique, and incorporation of new analytical work or new design insights. This section describes how future revisions will be tracked.</w:t>
      </w:r>
    </w:p>
    <w:p>
      <w:pPr>
        <w:pStyle w:val="Heading3"/>
        <w:spacing w:after="120" w:before="240"/>
      </w:pPr>
      <w:r>
        <w:rPr>
          <w:rFonts w:ascii="Arial" w:cs="Arial" w:eastAsia="Arial" w:hAnsi="Arial"/>
          <w:b/>
          <w:bCs/>
          <w:color w:val="C00000"/>
          <w:sz w:val="22"/>
          <w:szCs w:val="22"/>
        </w:rPr>
        <w:t xml:space="preserve">What triggers a new version</w:t>
      </w:r>
    </w:p>
    <w:p>
      <w:pPr>
        <w:spacing w:after="200" w:line="320"/>
        <w:jc w:val="both"/>
      </w:pPr>
      <w:r>
        <w:rPr>
          <w:rFonts w:ascii="Georgia" w:cs="Georgia" w:eastAsia="Georgia" w:hAnsi="Georgia"/>
          <w:color w:val="1A1A1A"/>
          <w:sz w:val="22"/>
          <w:szCs w:val="22"/>
        </w:rPr>
        <w:t xml:space="preserve">Several kinds of changes warrant a new version of the package or of specific documents:</w:t>
      </w:r>
    </w:p>
    <w:p>
      <w:pPr>
        <w:spacing w:after="200" w:line="320"/>
        <w:jc w:val="both"/>
      </w:pPr>
      <w:r>
        <w:rPr>
          <w:rFonts w:ascii="Georgia" w:cs="Georgia" w:eastAsia="Georgia" w:hAnsi="Georgia"/>
          <w:b/>
          <w:bCs/>
          <w:sz w:val="22"/>
          <w:szCs w:val="22"/>
        </w:rPr>
        <w:t xml:space="preserve">Substantive critique that improves an argument. </w:t>
      </w:r>
      <w:r>
        <w:rPr>
          <w:rFonts w:ascii="Georgia" w:cs="Georgia" w:eastAsia="Georgia" w:hAnsi="Georgia"/>
          <w:color w:val="1A1A1A"/>
          <w:sz w:val="22"/>
          <w:szCs w:val="22"/>
        </w:rPr>
        <w:t xml:space="preserve">Readers who engage seriously with the platform may identify weaknesses, propose refinements, or surface considerations the original analysis missed. Where these critiques produce improvements, the affected documents will be revised and the package version will increment accordingly.</w:t>
      </w:r>
    </w:p>
    <w:p>
      <w:pPr>
        <w:spacing w:after="200" w:line="320"/>
        <w:jc w:val="both"/>
      </w:pPr>
      <w:r>
        <w:rPr>
          <w:rFonts w:ascii="Georgia" w:cs="Georgia" w:eastAsia="Georgia" w:hAnsi="Georgia"/>
          <w:b/>
          <w:bCs/>
          <w:sz w:val="22"/>
          <w:szCs w:val="22"/>
        </w:rPr>
        <w:t xml:space="preserve">New analytical work. </w:t>
      </w:r>
      <w:r>
        <w:rPr>
          <w:rFonts w:ascii="Georgia" w:cs="Georgia" w:eastAsia="Georgia" w:hAnsi="Georgia"/>
          <w:color w:val="1A1A1A"/>
          <w:sz w:val="22"/>
          <w:szCs w:val="22"/>
        </w:rPr>
        <w:t xml:space="preserve">Some pillars are at concept level rather than full development. As the analytical work matures — funding mechanism analysis for civic infrastructure, governance design for the future capacity fund, expanded wage floor data — corresponding documents will be revised to reflect the deeper foundation.</w:t>
      </w:r>
    </w:p>
    <w:p>
      <w:pPr>
        <w:spacing w:after="200" w:line="320"/>
        <w:jc w:val="both"/>
      </w:pPr>
      <w:r>
        <w:rPr>
          <w:rFonts w:ascii="Georgia" w:cs="Georgia" w:eastAsia="Georgia" w:hAnsi="Georgia"/>
          <w:b/>
          <w:bCs/>
          <w:sz w:val="22"/>
          <w:szCs w:val="22"/>
        </w:rPr>
        <w:t xml:space="preserve">Empirical updates. </w:t>
      </w:r>
      <w:r>
        <w:rPr>
          <w:rFonts w:ascii="Georgia" w:cs="Georgia" w:eastAsia="Georgia" w:hAnsi="Georgia"/>
          <w:color w:val="1A1A1A"/>
          <w:sz w:val="22"/>
          <w:szCs w:val="22"/>
        </w:rPr>
        <w:t xml:space="preserve">Several claims in the package draw on empirical data (BLS occupational data, CMS healthcare costs, Census workforce statistics, international comparison data). When this data is updated, claims dependent on it will be reviewed and revised as warranted.</w:t>
      </w:r>
    </w:p>
    <w:p>
      <w:pPr>
        <w:spacing w:after="200" w:line="320"/>
        <w:jc w:val="both"/>
      </w:pPr>
      <w:r>
        <w:rPr>
          <w:rFonts w:ascii="Georgia" w:cs="Georgia" w:eastAsia="Georgia" w:hAnsi="Georgia"/>
          <w:b/>
          <w:bCs/>
          <w:sz w:val="22"/>
          <w:szCs w:val="22"/>
        </w:rPr>
        <w:t xml:space="preserve">New documents added to the package. </w:t>
      </w:r>
      <w:r>
        <w:rPr>
          <w:rFonts w:ascii="Georgia" w:cs="Georgia" w:eastAsia="Georgia" w:hAnsi="Georgia"/>
          <w:color w:val="1A1A1A"/>
          <w:sz w:val="22"/>
          <w:szCs w:val="22"/>
        </w:rPr>
        <w:t xml:space="preserve">If new documents are produced — additional pillars, additional framing documents, additional analytical work — they will be added to the package with their own version numbers and the package version will increment.</w:t>
      </w:r>
    </w:p>
    <w:p>
      <w:pPr>
        <w:spacing w:after="200" w:line="320"/>
        <w:jc w:val="both"/>
      </w:pPr>
      <w:r>
        <w:rPr>
          <w:rFonts w:ascii="Georgia" w:cs="Georgia" w:eastAsia="Georgia" w:hAnsi="Georgia"/>
          <w:b/>
          <w:bCs/>
          <w:sz w:val="22"/>
          <w:szCs w:val="22"/>
        </w:rPr>
        <w:t xml:space="preserve">Errors discovered and corrected. </w:t>
      </w:r>
      <w:r>
        <w:rPr>
          <w:rFonts w:ascii="Georgia" w:cs="Georgia" w:eastAsia="Georgia" w:hAnsi="Georgia"/>
          <w:color w:val="1A1A1A"/>
          <w:sz w:val="22"/>
          <w:szCs w:val="22"/>
        </w:rPr>
        <w:t xml:space="preserve">If errors are discovered in any document, the document will be corrected and a new version released. The changelog will note what was corrected and why.</w:t>
      </w:r>
    </w:p>
    <w:p>
      <w:pPr>
        <w:pStyle w:val="Heading3"/>
        <w:spacing w:after="120" w:before="240"/>
      </w:pPr>
      <w:r>
        <w:rPr>
          <w:rFonts w:ascii="Arial" w:cs="Arial" w:eastAsia="Arial" w:hAnsi="Arial"/>
          <w:b/>
          <w:bCs/>
          <w:color w:val="C00000"/>
          <w:sz w:val="22"/>
          <w:szCs w:val="22"/>
        </w:rPr>
        <w:t xml:space="preserve">How readers will know about new versions</w:t>
      </w:r>
    </w:p>
    <w:p>
      <w:pPr>
        <w:spacing w:after="200" w:line="320"/>
        <w:jc w:val="both"/>
      </w:pPr>
      <w:r>
        <w:rPr>
          <w:rFonts w:ascii="Georgia" w:cs="Georgia" w:eastAsia="Georgia" w:hAnsi="Georgia"/>
          <w:color w:val="1A1A1A"/>
          <w:sz w:val="22"/>
          <w:szCs w:val="22"/>
        </w:rPr>
        <w:t xml:space="preserve">This Package Version document will be updated with each new release. Readers can consult it at any time to verify they have the current version of any document in the package. Documents themselves carry version information on every page, so readers can verify document currency without consulting the package version document.</w:t>
      </w:r>
    </w:p>
    <w:p>
      <w:pPr>
        <w:spacing w:after="200" w:line="320"/>
        <w:jc w:val="both"/>
      </w:pPr>
      <w:r>
        <w:rPr>
          <w:rFonts w:ascii="Georgia" w:cs="Georgia" w:eastAsia="Georgia" w:hAnsi="Georgia"/>
          <w:color w:val="1A1A1A"/>
          <w:sz w:val="22"/>
          <w:szCs w:val="22"/>
        </w:rPr>
        <w:t xml:space="preserve">There is no formal distribution mechanism beyond direct sharing at this stage. Readers who receive an older version of the package can compare it to the current version using this document. Future versions of the package may include improved distribution mechanisms as the platform develops.</w:t>
      </w:r>
    </w:p>
    <w:p>
      <w:pPr>
        <w:pStyle w:val="Heading3"/>
        <w:spacing w:after="120" w:before="240"/>
      </w:pPr>
      <w:r>
        <w:rPr>
          <w:rFonts w:ascii="Arial" w:cs="Arial" w:eastAsia="Arial" w:hAnsi="Arial"/>
          <w:b/>
          <w:bCs/>
          <w:color w:val="C00000"/>
          <w:sz w:val="22"/>
          <w:szCs w:val="22"/>
        </w:rPr>
        <w:t xml:space="preserve">What won't change</w:t>
      </w:r>
    </w:p>
    <w:p>
      <w:pPr>
        <w:spacing w:after="200" w:line="320"/>
        <w:jc w:val="both"/>
      </w:pPr>
      <w:r>
        <w:rPr>
          <w:rFonts w:ascii="Georgia" w:cs="Georgia" w:eastAsia="Georgia" w:hAnsi="Georgia"/>
          <w:color w:val="1A1A1A"/>
          <w:sz w:val="22"/>
          <w:szCs w:val="22"/>
        </w:rPr>
        <w:t xml:space="preserve">Several aspects of the package are stable across future versions and will not change without major version increments:</w:t>
      </w:r>
    </w:p>
    <w:p>
      <w:pPr>
        <w:spacing w:after="200" w:line="320"/>
        <w:jc w:val="both"/>
      </w:pPr>
      <w:r>
        <w:rPr>
          <w:rFonts w:ascii="Georgia" w:cs="Georgia" w:eastAsia="Georgia" w:hAnsi="Georgia"/>
          <w:color w:val="1A1A1A"/>
          <w:sz w:val="22"/>
          <w:szCs w:val="22"/>
        </w:rPr>
        <w:t xml:space="preserve">The author. Jason Robertson is the author of the platform. The platform is offered as his work, with full disclosure of how it was developed. Future revisions may incorporate substantial input from other contributors, but the platform's authorship remains attached to its originator.</w:t>
      </w:r>
    </w:p>
    <w:p>
      <w:pPr>
        <w:spacing w:after="200" w:line="320"/>
        <w:jc w:val="both"/>
      </w:pPr>
      <w:r>
        <w:rPr>
          <w:rFonts w:ascii="Georgia" w:cs="Georgia" w:eastAsia="Georgia" w:hAnsi="Georgia"/>
          <w:color w:val="1A1A1A"/>
          <w:sz w:val="22"/>
          <w:szCs w:val="22"/>
        </w:rPr>
        <w:t xml:space="preserve">The values commitments. The principle that “when I do well, we all do well,” the commitment to honest acknowledgment of limitations, the insistence on universal participation as architectural foundation, and the rejection of architectures that concentrate prosperity rather than sharing it — these values commitments are constitutive of the platform and will not change without the platform itself becoming a different platform.</w:t>
      </w:r>
    </w:p>
    <w:p>
      <w:pPr>
        <w:spacing w:after="200" w:line="320"/>
        <w:jc w:val="both"/>
      </w:pPr>
      <w:r>
        <w:rPr>
          <w:rFonts w:ascii="Georgia" w:cs="Georgia" w:eastAsia="Georgia" w:hAnsi="Georgia"/>
          <w:color w:val="1A1A1A"/>
          <w:sz w:val="22"/>
          <w:szCs w:val="22"/>
        </w:rPr>
        <w:t xml:space="preserve">The architectural principles. Pooled contribution under transparent governance, empirical anchoring, structural fraud prevention, universal access, intergenerational responsibility — these are the architectural principles the platform applies to every problem it addresses. Specific implementations may evolve; the principles are stable.</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2EFE9" w:val="clear"/>
            <w:tcMar>
              <w:top w:type="dxa" w:w="200"/>
              <w:left w:type="dxa" w:w="280"/>
              <w:bottom w:type="dxa" w:w="200"/>
              <w:right w:type="dxa" w:w="280"/>
            </w:tcMar>
          </w:tcPr>
          <w:p>
            <w:pPr>
              <w:spacing w:line="300"/>
            </w:pPr>
            <w:r>
              <w:rPr>
                <w:rFonts w:ascii="Georgia" w:cs="Georgia" w:eastAsia="Georgia" w:hAnsi="Georgia"/>
                <w:i/>
                <w:iCs/>
                <w:color w:val="1A1A1A"/>
                <w:sz w:val="22"/>
                <w:szCs w:val="22"/>
              </w:rPr>
              <w:t xml:space="preserve">The platform is offered as an evolving body of work that improves through engagement. Version 1.0 is where it stands today. Future versions will reflect what conversation, critique, and continued analytical work produce.</w:t>
            </w:r>
          </w:p>
        </w:tc>
      </w:tr>
    </w:tbl>
    <w:p>
      <w:r>
        <w:br w:type="page"/>
      </w:r>
    </w:p>
    <w:p>
      <w:pPr>
        <w:pStyle w:val="Heading1"/>
        <w:spacing w:after="240" w:before="480"/>
      </w:pPr>
      <w:r>
        <w:rPr>
          <w:rFonts w:ascii="Arial" w:cs="Arial" w:eastAsia="Arial" w:hAnsi="Arial"/>
          <w:b/>
          <w:bCs/>
          <w:color w:val="1F4E78"/>
          <w:sz w:val="36"/>
          <w:szCs w:val="36"/>
        </w:rPr>
        <w:t xml:space="preserve">Closing</w:t>
      </w:r>
    </w:p>
    <w:p>
      <w:pPr>
        <w:spacing w:after="240" w:line="340"/>
        <w:jc w:val="both"/>
      </w:pPr>
      <w:r>
        <w:rPr>
          <w:rFonts w:ascii="Georgia" w:cs="Georgia" w:eastAsia="Georgia" w:hAnsi="Georgia"/>
          <w:color w:val="1A1A1A"/>
          <w:sz w:val="24"/>
          <w:szCs w:val="24"/>
        </w:rPr>
        <w:t xml:space="preserve">The package is now formally versioned. Readers have a way to verify they have the current materials. The platform has a way to evolve transparently as engagement with it produces refinements.</w:t>
      </w:r>
    </w:p>
    <w:p>
      <w:pPr>
        <w:spacing w:after="200" w:line="320"/>
        <w:jc w:val="both"/>
      </w:pPr>
      <w:r>
        <w:rPr>
          <w:rFonts w:ascii="Georgia" w:cs="Georgia" w:eastAsia="Georgia" w:hAnsi="Georgia"/>
          <w:color w:val="1A1A1A"/>
          <w:sz w:val="22"/>
          <w:szCs w:val="22"/>
        </w:rPr>
        <w:t xml:space="preserve">This document will continue to be the authoritative source for what's current in the platform package. Readers encountering any document from the package can verify its currency by consulting this document. Readers wanting to track the platform's evolution over time can use this document's changelog to understand what has changed across versions.</w:t>
      </w:r>
    </w:p>
    <w:p>
      <w:pPr>
        <w:spacing w:after="200" w:line="320"/>
        <w:jc w:val="both"/>
      </w:pPr>
      <w:r>
        <w:rPr>
          <w:rFonts w:ascii="Georgia" w:cs="Georgia" w:eastAsia="Georgia" w:hAnsi="Georgia"/>
          <w:color w:val="1A1A1A"/>
          <w:sz w:val="22"/>
          <w:szCs w:val="22"/>
        </w:rPr>
        <w:t xml:space="preserve">The package belongs to no one in particular. Its author signed his name to the documents because the architectural vision and the values commitments are his. The platform's evolution from this point depends on whether its ideas survive the engagement of many other citizens, professionals, and elected officials over the years required for institutional change. Each version of the package will reflect what that engagement produces.</w:t>
      </w:r>
    </w:p>
    <w:p>
      <w:pPr>
        <w:spacing w:after="40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“Version 1.0 is the platform offering itself for serious engagement. Future versions will be the platform responding to what that engagement produces.”</w:t>
            </w:r>
          </w:p>
        </w:tc>
      </w:tr>
    </w:tbl>
    <w:p>
      <w:pPr>
        <w:spacing w:after="400"/>
      </w:pPr>
      <w:r>
        <w:t xml:space="preserve"/>
      </w:r>
    </w:p>
    <w:p>
      <w:pPr>
        <w:spacing w:after="100"/>
        <w:jc w:val="center"/>
      </w:pPr>
      <w:r>
        <w:rPr>
          <w:rFonts w:ascii="Georgia" w:cs="Georgia" w:eastAsia="Georgia" w:hAnsi="Georgia"/>
          <w:b/>
          <w:bCs/>
          <w:color w:val="1A1A1A"/>
          <w:sz w:val="24"/>
          <w:szCs w:val="24"/>
        </w:rPr>
        <w:t xml:space="preserve">Jason Robertson</w:t>
      </w:r>
    </w:p>
    <w:p>
      <w:pPr>
        <w:jc w:val="center"/>
      </w:pPr>
      <w:r>
        <w:rPr>
          <w:rFonts w:ascii="Georgia" w:cs="Georgia" w:eastAsia="Georgia" w:hAnsi="Georgia"/>
          <w:i/>
          <w:iCs/>
          <w:color w:val="595959"/>
          <w:sz w:val="22"/>
          <w:szCs w:val="22"/>
        </w:rPr>
        <w:t xml:space="preserve">Ohio, May 3, 2026</w:t>
      </w:r>
    </w:p>
    <w:sectPr>
      <w:headerReference w:type="default" r:id="rId7"/>
      <w:footerReference w:type="default" r:id="rId8"/>
      <w:pgSz w:w="12240" w:h="15840" w:orient="portrait"/>
      <w:pgMar w:top="1620" w:right="1440" w:bottom="162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tbl>
    <w:tblPr>
      <w:tblW w:type="dxa" w:w="9000"/>
      <w:tblBorders>
        <w:top w:val="none"/>
        <w:left w:val="none"/>
        <w:bottom w:val="none"/>
        <w:right w:val="none"/>
        <w:insideH w:val="none"/>
        <w:insideV w:val="none"/>
      </w:tblBorders>
    </w:tblPr>
    <w:tblGrid>
      <w:gridCol w:w="3000"/>
      <w:gridCol w:w="3000"/>
      <w:gridCol w:w="3000"/>
    </w:tblGrid>
    <w:tr>
      <w:tc>
        <w:tcPr>
          <w:tcW w:type="dxa" w:w="3000"/>
          <w:tcBorders>
            <w:top w:val="none"/>
            <w:left w:val="none"/>
            <w:bottom w:val="none"/>
            <w:right w:val="none"/>
          </w:tcBorders>
        </w:tcPr>
        <w:p>
          <w:pPr>
            <w:jc w:val="left"/>
          </w:pPr>
          <w:r>
            <w:rPr>
              <w:rFonts w:ascii="Arial" w:cs="Arial" w:eastAsia="Arial" w:hAnsi="Arial"/>
              <w:color w:val="595959"/>
              <w:sz w:val="16"/>
              <w:szCs w:val="16"/>
            </w:rPr>
            <w:t xml:space="preserve">Package Version · v2.7</w:t>
          </w:r>
        </w:p>
      </w:tc>
      <w:tc>
        <w:tcPr>
          <w:tcW w:type="dxa" w:w="3000"/>
          <w:tcBorders>
            <w:top w:val="none"/>
            <w:left w:val="none"/>
            <w:bottom w:val="none"/>
            <w:right w:val="none"/>
          </w:tcBorders>
        </w:tcPr>
        <w:p>
          <w:pPr>
            <w:jc w:val="center"/>
          </w:pPr>
          <w:r>
            <w:rPr>
              <w:rFonts w:ascii="Arial" w:cs="Arial" w:eastAsia="Arial" w:hAnsi="Arial"/>
              <w:color w:val="595959"/>
              <w:sz w:val="16"/>
              <w:szCs w:val="16"/>
            </w:rPr>
            <w:t xml:space="preserve">Page </w:t>
          </w:r>
          <w:r>
            <w:rPr>
              <w:rFonts w:ascii="Arial" w:cs="Arial" w:eastAsia="Arial" w:hAnsi="Arial"/>
              <w:color w:val="595959"/>
              <w:sz w:val="16"/>
              <w:szCs w:val="16"/>
            </w:rPr>
            <w:fldChar w:fldCharType="begin"/>
            <w:instrText xml:space="preserve">PAGE</w:instrText>
            <w:fldChar w:fldCharType="separate"/>
            <w:fldChar w:fldCharType="end"/>
          </w:r>
        </w:p>
      </w:tc>
      <w:tc>
        <w:tcPr>
          <w:tcW w:type="dxa" w:w="3000"/>
          <w:tcBorders>
            <w:top w:val="none"/>
            <w:left w:val="none"/>
            <w:bottom w:val="none"/>
            <w:right w:val="none"/>
          </w:tcBorders>
        </w:tcPr>
        <w:p>
          <w:pPr>
            <w:jc w:val="right"/>
          </w:pPr>
          <w:r>
            <w:rPr>
              <w:rFonts w:ascii="Arial" w:cs="Arial" w:eastAsia="Arial" w:hAnsi="Arial"/>
              <w:color w:val="595959"/>
              <w:sz w:val="16"/>
              <w:szCs w:val="16"/>
            </w:rPr>
            <w:t xml:space="preserve">Updated May 5, 2026</w:t>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1F4E78" w:sz="4" w:space="4"/>
      </w:pBdr>
      <w:jc w:val="right"/>
    </w:pPr>
    <w:r>
      <w:rPr>
        <w:rFonts w:ascii="Arial" w:cs="Arial" w:eastAsia="Arial" w:hAnsi="Arial"/>
        <w:i/>
        <w:iCs/>
        <w:color w:val="595959"/>
        <w:sz w:val="18"/>
        <w:szCs w:val="18"/>
      </w:rPr>
      <w:t xml:space="preserve">Platform Package — Package Version Document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1A1A1A"/>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Platform Package — Package Version Document</dc:title>
  <dc:creator>Jason Robertson</dc:creator>
  <cp:lastModifiedBy>Un-named</cp:lastModifiedBy>
  <cp:revision>1</cp:revision>
  <dcterms:created xsi:type="dcterms:W3CDTF">2026-05-05T15:41:34.308Z</dcterms:created>
  <dcterms:modified xsi:type="dcterms:W3CDTF">2026-05-05T15:41:34.309Z</dcterms:modified>
</cp:coreProperties>
</file>

<file path=docProps/custom.xml><?xml version="1.0" encoding="utf-8"?>
<Properties xmlns="http://schemas.openxmlformats.org/officeDocument/2006/custom-properties" xmlns:vt="http://schemas.openxmlformats.org/officeDocument/2006/docPropsVTypes"/>
</file>