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0"/>
          <w:szCs w:val="40"/>
        </w:rPr>
        <w:t xml:space="preserve">RESPONSE TO</w:t>
      </w:r>
    </w:p>
    <w:p>
      <w:pPr>
        <w:spacing w:after="100"/>
        <w:jc w:val="center"/>
      </w:pPr>
      <w:r>
        <w:rPr>
          <w:rFonts w:ascii="Arial" w:cs="Arial" w:eastAsia="Arial" w:hAnsi="Arial"/>
          <w:b/>
          <w:bCs/>
          <w:color w:val="1F4E78"/>
          <w:sz w:val="50"/>
          <w:szCs w:val="50"/>
        </w:rPr>
        <w:t xml:space="preserve">EXTERNAL REVIEW</w:t>
      </w:r>
    </w:p>
    <w:p>
      <w:pPr>
        <w:spacing w:after="200"/>
        <w:jc w:val="center"/>
      </w:pPr>
      <w:r>
        <w:rPr>
          <w:rFonts w:ascii="Arial" w:cs="Arial" w:eastAsia="Arial" w:hAnsi="Arial"/>
          <w:i/>
          <w:iCs/>
          <w:color w:val="C00000"/>
          <w:sz w:val="26"/>
          <w:szCs w:val="26"/>
        </w:rPr>
        <w:t xml:space="preserve">Engaging with Gemini's Review of v1.8</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What the review identified that the platform should answer,</w:t>
      </w:r>
    </w:p>
    <w:p>
      <w:pPr>
        <w:spacing w:after="200"/>
        <w:jc w:val="center"/>
      </w:pPr>
      <w:r>
        <w:rPr>
          <w:rFonts w:ascii="Georgia" w:cs="Georgia" w:eastAsia="Georgia" w:hAnsi="Georgia"/>
          <w:i/>
          <w:iCs/>
          <w:color w:val="1A1A1A"/>
          <w:sz w:val="24"/>
          <w:szCs w:val="24"/>
        </w:rPr>
        <w:t xml:space="preserve">what the platform can address through additional analytical work,</w:t>
      </w:r>
    </w:p>
    <w:p>
      <w:pPr>
        <w:spacing w:after="1200"/>
        <w:jc w:val="center"/>
      </w:pPr>
      <w:r>
        <w:rPr>
          <w:rFonts w:ascii="Georgia" w:cs="Georgia" w:eastAsia="Georgia" w:hAnsi="Georgia"/>
          <w:i/>
          <w:iCs/>
          <w:color w:val="1A1A1A"/>
          <w:sz w:val="24"/>
          <w:szCs w:val="24"/>
        </w:rPr>
        <w:t xml:space="preserve">and what remains genuinely unresolved.</w:t>
      </w:r>
    </w:p>
    <w:p>
      <w:pPr>
        <w:spacing w:before="1200"/>
      </w:pPr>
      <w:r>
        <w:t xml:space="preserve"/>
      </w:r>
    </w:p>
    <w:p>
      <w:pPr>
        <w:spacing w:after="80"/>
        <w:jc w:val="center"/>
      </w:pPr>
      <w:r>
        <w:rPr>
          <w:rFonts w:ascii="Georgia" w:cs="Georgia" w:eastAsia="Georgia" w:hAnsi="Georgia"/>
          <w:i/>
          <w:iCs/>
          <w:color w:val="595959"/>
          <w:sz w:val="22"/>
          <w:szCs w:val="22"/>
        </w:rPr>
        <w:t xml:space="preserve">An External Review Response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 xml:space="preserve">v1.0  ·  Created May 2026  ·  Updated May 4, 2026</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About This Document</w:t>
      </w:r>
    </w:p>
    <w:p>
      <w:pPr>
        <w:spacing w:after="240" w:line="340"/>
        <w:jc w:val="both"/>
      </w:pPr>
      <w:r>
        <w:rPr>
          <w:rFonts w:ascii="Georgia" w:cs="Georgia" w:eastAsia="Georgia" w:hAnsi="Georgia"/>
          <w:color w:val="1A1A1A"/>
          <w:sz w:val="24"/>
          <w:szCs w:val="24"/>
        </w:rPr>
        <w:t xml:space="preserve">On May 4, 2026, the platform package v1.8 was reviewed by Gemini, an AI assistant developed by Google. The review identified four core strengths and four critical vulnerabilities. This document responds to that review honestly: engaging with what's accurate, working through what additional analytical work could mitigate the identified vulnerabilities, and acknowledging what remains genuinely unresolved.</w:t>
      </w:r>
    </w:p>
    <w:p>
      <w:pPr>
        <w:pStyle w:val="Heading2"/>
        <w:spacing w:after="160" w:before="360"/>
      </w:pPr>
      <w:r>
        <w:rPr>
          <w:rFonts w:ascii="Arial" w:cs="Arial" w:eastAsia="Arial" w:hAnsi="Arial"/>
          <w:b/>
          <w:bCs/>
          <w:color w:val="1F4E78"/>
          <w:sz w:val="28"/>
          <w:szCs w:val="28"/>
        </w:rPr>
        <w:t xml:space="preserve">Provenance Disclosure</w:t>
      </w:r>
    </w:p>
    <w:p>
      <w:pPr>
        <w:spacing w:after="200" w:line="320"/>
        <w:jc w:val="both"/>
      </w:pPr>
      <w:r>
        <w:rPr>
          <w:rFonts w:ascii="Georgia" w:cs="Georgia" w:eastAsia="Georgia" w:hAnsi="Georgia"/>
          <w:color w:val="1A1A1A"/>
          <w:sz w:val="22"/>
          <w:szCs w:val="22"/>
        </w:rPr>
        <w:t xml:space="preserve">This document is itself a product of human-AI collaboration. The original review was generated by Google's Gemini after being given the v1.8 platform package. This response document was developed by Jason Robertson in collaboration with Anthropic's Claude Opus 4.7 — the same AI that helped develop the original platform. The reader should be aware of this meta-layer: this is Anthropic-assisted material responding to Google-assisted review of Anthropic-assisted work. The provenance commitment that runs through the platform's documents (see 05_How_This_Was_Built.docx) extends to this document.</w:t>
      </w:r>
    </w:p>
    <w:p>
      <w:pPr>
        <w:spacing w:after="200" w:line="320"/>
        <w:jc w:val="both"/>
      </w:pPr>
      <w:r>
        <w:rPr>
          <w:rFonts w:ascii="Georgia" w:cs="Georgia" w:eastAsia="Georgia" w:hAnsi="Georgia"/>
          <w:color w:val="1A1A1A"/>
          <w:sz w:val="22"/>
          <w:szCs w:val="22"/>
        </w:rPr>
        <w:t xml:space="preserve">This is genuinely the first time the platform has received external review by a third party of any kind, AI or human. That's worth acknowledging as a milestone in the platform's development. The review is largely favorable while identifying real concerns. The substantive engagement that follows is offered in the spirit Gemini's review embodies: serious inquiry rather than promotional exchange.</w:t>
      </w:r>
    </w:p>
    <w:p>
      <w:pPr>
        <w:pStyle w:val="Heading2"/>
        <w:spacing w:after="160" w:before="360"/>
      </w:pPr>
      <w:r>
        <w:rPr>
          <w:rFonts w:ascii="Arial" w:cs="Arial" w:eastAsia="Arial" w:hAnsi="Arial"/>
          <w:b/>
          <w:bCs/>
          <w:color w:val="1F4E78"/>
          <w:sz w:val="28"/>
          <w:szCs w:val="28"/>
        </w:rPr>
        <w:t xml:space="preserve">Why Engage With AI Review at All</w:t>
      </w:r>
    </w:p>
    <w:p>
      <w:pPr>
        <w:spacing w:after="200" w:line="320"/>
        <w:jc w:val="both"/>
      </w:pPr>
      <w:r>
        <w:rPr>
          <w:rFonts w:ascii="Georgia" w:cs="Georgia" w:eastAsia="Georgia" w:hAnsi="Georgia"/>
          <w:color w:val="1A1A1A"/>
          <w:sz w:val="22"/>
          <w:szCs w:val="22"/>
        </w:rPr>
        <w:t xml:space="preserve">Some readers may be skeptical that AI review counts as meaningful external evaluation. The skepticism is reasonable. AI assistants don't have the institutional credibility of think tanks, academic peer review, or expert practitioners. They can produce plausible-sounding analysis that misses domain-specific concerns a human expert would catch. They can also exhibit sycophancy — telling the user what the user wants to hear rather than what's actually true.</w:t>
      </w:r>
    </w:p>
    <w:p>
      <w:pPr>
        <w:spacing w:after="200" w:line="320"/>
        <w:jc w:val="both"/>
      </w:pPr>
      <w:r>
        <w:rPr>
          <w:rFonts w:ascii="Georgia" w:cs="Georgia" w:eastAsia="Georgia" w:hAnsi="Georgia"/>
          <w:color w:val="1A1A1A"/>
          <w:sz w:val="22"/>
          <w:szCs w:val="22"/>
        </w:rPr>
        <w:t xml:space="preserve">Despite these limitations, AI review has value when treated appropriately. Gemini's review identifies four vulnerabilities that any serious reviewer (human or AI) would likely identify in a platform proposal of this scope. The Sovereign Fund governance question, healthcare industry pushback, sequence-of-returns risk during transition, and childcare workforce capacity constraints are all real issues that the platform's own documents partially acknowledge but don't fully address. AI review surfaces them efficiently, in a form that supports response and refinement.</w:t>
      </w:r>
    </w:p>
    <w:p>
      <w:pPr>
        <w:spacing w:after="200" w:line="320"/>
        <w:jc w:val="both"/>
      </w:pPr>
      <w:r>
        <w:rPr>
          <w:rFonts w:ascii="Georgia" w:cs="Georgia" w:eastAsia="Georgia" w:hAnsi="Georgia"/>
          <w:color w:val="1A1A1A"/>
          <w:sz w:val="22"/>
          <w:szCs w:val="22"/>
        </w:rPr>
        <w:t xml:space="preserve">The right framing is that AI review is one form of external evaluation, not the gold standard for it. Human expert review, institutional engagement, and field testing all remain necessary. Gemini's review is a useful first checkpoint that demonstrates the platform's analytical foundation can withstand serious scrutiny while also identifying where additional work is needed. It's not a substitute for the broader evaluation the platform requires.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“External review is what makes a platform proposal evolve from ‘coherent on its own terms’ to ‘robust against substantive critique.’ This document treats Gemini's review as the first instance of that evolution.”</w:t>
            </w:r>
          </w:p>
        </w:tc>
      </w:tr>
    </w:tbl>
    <w:p>
      <w:r>
        <w:br w:type="page"/>
      </w:r>
    </w:p>
    <w:p>
      <w:pPr>
        <w:pStyle w:val="Heading1"/>
        <w:spacing w:after="240" w:before="480"/>
      </w:pPr>
      <w:r>
        <w:rPr>
          <w:rFonts w:ascii="Arial" w:cs="Arial" w:eastAsia="Arial" w:hAnsi="Arial"/>
          <w:b/>
          <w:bCs/>
          <w:color w:val="1F4E78"/>
          <w:sz w:val="36"/>
          <w:szCs w:val="36"/>
        </w:rPr>
        <w:t xml:space="preserve">What the Review Got Right</w:t>
      </w:r>
    </w:p>
    <w:p>
      <w:pPr>
        <w:spacing w:after="240" w:line="340"/>
        <w:jc w:val="both"/>
      </w:pPr>
      <w:r>
        <w:rPr>
          <w:rFonts w:ascii="Georgia" w:cs="Georgia" w:eastAsia="Georgia" w:hAnsi="Georgia"/>
          <w:color w:val="1A1A1A"/>
          <w:sz w:val="24"/>
          <w:szCs w:val="24"/>
        </w:rPr>
        <w:t xml:space="preserve">Gemini's review identifies four core strengths of the platform. Each observation is accurate and worth engaging with explicitly, both to acknowledge what works and to think about how to preserve those strengths through subsequent refinement.</w:t>
      </w:r>
    </w:p>
    <w:p>
      <w:pPr>
        <w:pStyle w:val="Heading2"/>
        <w:spacing w:after="160" w:before="360"/>
      </w:pPr>
      <w:r>
        <w:rPr>
          <w:rFonts w:ascii="Arial" w:cs="Arial" w:eastAsia="Arial" w:hAnsi="Arial"/>
          <w:b/>
          <w:bCs/>
          <w:color w:val="1F4E78"/>
          <w:sz w:val="28"/>
          <w:szCs w:val="28"/>
        </w:rPr>
        <w:t xml:space="preserve">Strength 1: Empirical Anchoring</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 xml:space="preserve">“The approach to wage floors (Pillar 2) is brilliant. By abandoning the fight for a single, arbitrary national minimum wage and instead indexing floors to the 25th percentile of actual BLS OEWS data for each specific occupation, the platform neutralizes the classic economic arguments against minimum wages. It observes the market rather than dictating to it.”</w:t>
            </w:r>
          </w:p>
        </w:tc>
      </w:tr>
    </w:tbl>
    <w:p>
      <w:pPr>
        <w:spacing w:after="200" w:line="320"/>
        <w:jc w:val="both"/>
      </w:pPr>
      <w:r>
        <w:rPr>
          <w:rFonts w:ascii="Georgia" w:cs="Georgia" w:eastAsia="Georgia" w:hAnsi="Georgia"/>
          <w:color w:val="1A1A1A"/>
          <w:sz w:val="22"/>
          <w:szCs w:val="22"/>
        </w:rPr>
        <w:t>This observation captures something the platform's own documents articulate but Gemini frames more crisply than the original work did. The wage floor architecture's distinctive feature isn't its specific level; it's that the level is empirically derived rather than politically negotiated. This shifts the political ground from “what should the minimum wage be” (where the answer is whatever Congress can pass) to “what does this occupation actually pay at the 25th percentile” (where the answer is whatever the BLS (Bureau of Labor Statistics) data shows).</w:t>
      </w:r>
    </w:p>
    <w:p>
      <w:pPr>
        <w:spacing w:after="200" w:line="320"/>
        <w:jc w:val="both"/>
      </w:pPr>
      <w:r>
        <w:rPr>
          <w:rFonts w:ascii="Georgia" w:cs="Georgia" w:eastAsia="Georgia" w:hAnsi="Georgia"/>
          <w:color w:val="1A1A1A"/>
          <w:sz w:val="22"/>
          <w:szCs w:val="22"/>
        </w:rPr>
        <w:t xml:space="preserve">The implication Gemini draws — that this neutralizes classic economic arguments against minimum wages — is correct and worth defending in subsequent versions. Economic objections to minimum wage typically focus on the disconnect between wage levels and underlying productivity. The empirical approach addresses this by anchoring floors to wages that already exist in the market for the same work, which by definition reflects whatever productivity-wage relationship currently obtains. It doesn't dictate; it observes and codifies.</w:t>
      </w:r>
    </w:p>
    <w:p>
      <w:pPr>
        <w:pStyle w:val="Heading2"/>
        <w:spacing w:after="160" w:before="360"/>
      </w:pPr>
      <w:r>
        <w:rPr>
          <w:rFonts w:ascii="Arial" w:cs="Arial" w:eastAsia="Arial" w:hAnsi="Arial"/>
          <w:b/>
          <w:bCs/>
          <w:color w:val="1F4E78"/>
          <w:sz w:val="28"/>
          <w:szCs w:val="28"/>
        </w:rPr>
        <w:t xml:space="preserve">Strength 2: Systemic Cross-Subsidization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 xml:space="preserve">“The transition gap created by the Social Security sunset (a staggering $63T problem on its own) is solved by the surplus generated by the new Hybrid System's Sovereign Fund. Similarly, the Sovereign Education Fund is capitalized by both birth-seeds and later disbursements from the mature retirement fund. This interconnectedness is the platform's mathematical superpower.”</w:t>
            </w:r>
          </w:p>
        </w:tc>
      </w:tr>
    </w:tbl>
    <w:p>
      <w:pPr>
        <w:spacing w:after="200" w:line="320"/>
        <w:jc w:val="both"/>
      </w:pPr>
      <w:r>
        <w:rPr>
          <w:rFonts w:ascii="Georgia" w:cs="Georgia" w:eastAsia="Georgia" w:hAnsi="Georgia"/>
          <w:color w:val="1A1A1A"/>
          <w:sz w:val="22"/>
          <w:szCs w:val="22"/>
        </w:rPr>
        <w:t xml:space="preserve">This observation gets at something the original platform documents understate. The Combined Reform Model documents the $63T-to-$82B mathematical transformation, but doesn't fully articulate that this is the architectural pattern repeating across every pillar. Cross-subsidization isn't a feature of a single pillar; it's the connecting tissue that makes the platform behave as a unified system rather than a sum of separate programs.</w:t>
      </w:r>
    </w:p>
    <w:p>
      <w:pPr>
        <w:spacing w:after="200" w:line="320"/>
        <w:jc w:val="both"/>
      </w:pPr>
      <w:r>
        <w:rPr>
          <w:rFonts w:ascii="Georgia" w:cs="Georgia" w:eastAsia="Georgia" w:hAnsi="Georgia"/>
          <w:color w:val="1A1A1A"/>
          <w:sz w:val="22"/>
          <w:szCs w:val="22"/>
        </w:rPr>
        <w:t xml:space="preserve">Gemini's framing — “mathematical superpower” — captures something subsequent platform versions should reinforce. The platform should articulate this pattern more directly in its primary documents, since it's the explanation for why the platform's claims sound implausibly good. The math doesn't depend on miracles; it depends on architectural connection between pillars that the current fragmented system doesn't have.</w:t>
      </w:r>
    </w:p>
    <w:p>
      <w:pPr>
        <w:pStyle w:val="Heading2"/>
        <w:spacing w:after="160" w:before="360"/>
      </w:pPr>
      <w:r>
        <w:rPr>
          <w:rFonts w:ascii="Arial" w:cs="Arial" w:eastAsia="Arial" w:hAnsi="Arial"/>
          <w:b/>
          <w:bCs/>
          <w:color w:val="1F4E78"/>
          <w:sz w:val="28"/>
          <w:szCs w:val="28"/>
        </w:rPr>
        <w:t xml:space="preserve">Strength 3: The Unleashing Narrative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 xml:space="preserve">“Framing the platform not as 'redistribution' but as removing the artificial drag on human capability is a winning narrative. Furthermore, demonstrating that the total household 'tax wedge' actually decreases for the vast majority of Americans is exactly the right way to neutralize the inevitable 'tax-and-spend' attacks.”</w:t>
            </w:r>
          </w:p>
        </w:tc>
      </w:tr>
    </w:tbl>
    <w:p>
      <w:pPr>
        <w:spacing w:after="200" w:line="320"/>
        <w:jc w:val="both"/>
      </w:pPr>
      <w:r>
        <w:rPr>
          <w:rFonts w:ascii="Georgia" w:cs="Georgia" w:eastAsia="Georgia" w:hAnsi="Georgia"/>
          <w:color w:val="1A1A1A"/>
          <w:sz w:val="22"/>
          <w:szCs w:val="22"/>
        </w:rPr>
        <w:t xml:space="preserve">The Unlocking America's Potential document (05_Unlocking_Americas_Potential.docx) and the What This Means For You document (05_What_This_Means_For_You.docx) together produce this narrative. Gemini's review confirms that the framing reads as effective rather than transparently strategic, which is what the platform needed. Strategic framing that reads as obviously strategic typically fails; framing that reads as substantive (because it actually is substantive) typically works.</w:t>
      </w:r>
    </w:p>
    <w:p>
      <w:pPr>
        <w:spacing w:after="200" w:line="320"/>
        <w:jc w:val="both"/>
      </w:pPr>
      <w:r>
        <w:rPr>
          <w:rFonts w:ascii="Georgia" w:cs="Georgia" w:eastAsia="Georgia" w:hAnsi="Georgia"/>
          <w:color w:val="1A1A1A"/>
          <w:sz w:val="22"/>
          <w:szCs w:val="22"/>
        </w:rPr>
        <w:t xml:space="preserve">The platform should preserve and strengthen this framing in subsequent versions. The cognitive bandwidth research, postwar historical precedent, and personal-level tax comparisons all reinforce the unleashing narrative without requiring the platform to claim things that aren't true. This is the strategic posture the platform should maintain across audiences.</w:t>
      </w:r>
    </w:p>
    <w:p>
      <w:pPr>
        <w:pStyle w:val="Heading2"/>
        <w:spacing w:after="160" w:before="360"/>
      </w:pPr>
      <w:r>
        <w:rPr>
          <w:rFonts w:ascii="Arial" w:cs="Arial" w:eastAsia="Arial" w:hAnsi="Arial"/>
          <w:b/>
          <w:bCs/>
          <w:color w:val="1F4E78"/>
          <w:sz w:val="28"/>
          <w:szCs w:val="28"/>
        </w:rPr>
        <w:t xml:space="preserve">Strength 4: Transparent Provenance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 xml:space="preserve">“The How This Was Built document is a masterclass in modern authorship. Openly documenting the sustained collaboration with AI models establishes immediate intellectual honesty. It shows how these tools can be leveraged to generate immense analytical capacity, transforming an individual citizen's architectural vision into a think-tank-level policy package.”</w:t>
            </w:r>
          </w:p>
        </w:tc>
      </w:tr>
    </w:tbl>
    <w:p>
      <w:pPr>
        <w:spacing w:after="200" w:line="320"/>
        <w:jc w:val="both"/>
      </w:pPr>
      <w:r>
        <w:rPr>
          <w:rFonts w:ascii="Georgia" w:cs="Georgia" w:eastAsia="Georgia" w:hAnsi="Georgia"/>
          <w:color w:val="1A1A1A"/>
          <w:sz w:val="22"/>
          <w:szCs w:val="22"/>
        </w:rPr>
        <w:t xml:space="preserve">This observation matters because the provenance commitment was a deliberate choice that could have gone differently. The platform could have obscured the AI collaboration to avoid skepticism about AI-generated policy. The choice to document it openly turned a potential liability into a strength. Gemini's review confirms this strategic choice was correct.</w:t>
      </w:r>
    </w:p>
    <w:p>
      <w:pPr>
        <w:spacing w:after="200" w:line="320"/>
        <w:jc w:val="both"/>
      </w:pPr>
      <w:r>
        <w:rPr>
          <w:rFonts w:ascii="Georgia" w:cs="Georgia" w:eastAsia="Georgia" w:hAnsi="Georgia"/>
          <w:color w:val="1A1A1A"/>
          <w:sz w:val="22"/>
          <w:szCs w:val="22"/>
        </w:rPr>
        <w:t xml:space="preserve">Subsequent platform versions should preserve and extend this commitment. Every additional document continues to disclose AI involvement appropriately. The pattern of how citizen questions surface platform additions (now documented across v1.0 through v1.8 changelogs) is itself part of the provenance story — the platform's growth pattern is visible in a way that obscured-AI work would not allow.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“Gemini's review confirms that the platform's strategic choices have been right — empirical anchoring, cross-subsidization, unleashing narrative, transparent provenance. The vulnerabilities it identifies are real, but they don't undermine these foundational strengths.”</w:t>
            </w:r>
          </w:p>
        </w:tc>
      </w:tr>
    </w:tbl>
    <w:p>
      <w:r>
        <w:br w:type="page"/>
      </w:r>
    </w:p>
    <w:p>
      <w:pPr>
        <w:pStyle w:val="Heading1"/>
        <w:spacing w:after="240" w:before="480"/>
      </w:pPr>
      <w:r>
        <w:rPr>
          <w:rFonts w:ascii="Arial" w:cs="Arial" w:eastAsia="Arial" w:hAnsi="Arial"/>
          <w:b/>
          <w:bCs/>
          <w:color w:val="1F4E78"/>
          <w:sz w:val="36"/>
          <w:szCs w:val="36"/>
        </w:rPr>
        <w:t xml:space="preserve">Vulnerability 1: The Sovereign Fund Governance Trap</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 xml:space="preserve">“The math of the Community Contribution Plan relies on a Sovereign Fund accumulating tens of trillions of dollars. As noted in the models, the governance of this fund is the hardest political problem. A fund of this size would own a massive percentage of every publicly traded US company. In the current political climate, the pressure to weaponize those shareholder voting rights would be immense. The platform needs an absolutely ironclad, constitutional-level firewall to prevent the fund from being raided to close standard budget deficits or manipulated for partisan economic leverage.”</w:t>
            </w:r>
          </w:p>
        </w:tc>
      </w:tr>
    </w:tbl>
    <w:p>
      <w:pPr>
        <w:pStyle w:val="Heading2"/>
        <w:spacing w:after="160" w:before="360"/>
      </w:pPr>
      <w:r>
        <w:rPr>
          <w:rFonts w:ascii="Arial" w:cs="Arial" w:eastAsia="Arial" w:hAnsi="Arial"/>
          <w:b/>
          <w:bCs/>
          <w:color w:val="1F4E78"/>
          <w:sz w:val="28"/>
          <w:szCs w:val="28"/>
        </w:rPr>
        <w:t xml:space="preserve">What's True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Accurate observations in the review</w:t>
            </w:r>
          </w:p>
          <w:p>
            <w:pPr>
              <w:spacing w:after="100" w:line="280"/>
            </w:pPr>
            <w:r>
              <w:rPr>
                <w:rFonts w:ascii="Georgia" w:cs="Georgia" w:eastAsia="Georgia" w:hAnsi="Georgia"/>
                <w:color w:val="1A1A1A"/>
                <w:sz w:val="21"/>
                <w:szCs w:val="21"/>
              </w:rPr>
              <w:t xml:space="preserve">•  A Sovereign Fund maturing to $122 trillion (the platform's projection by Year 60) would own a substantial percentage of global publicly traded equity markets, not just American.</w:t>
            </w:r>
          </w:p>
          <w:p>
            <w:pPr>
              <w:spacing w:after="100" w:line="280"/>
            </w:pPr>
            <w:r>
              <w:rPr>
                <w:rFonts w:ascii="Georgia" w:cs="Georgia" w:eastAsia="Georgia" w:hAnsi="Georgia"/>
                <w:color w:val="1A1A1A"/>
                <w:sz w:val="21"/>
                <w:szCs w:val="21"/>
              </w:rPr>
              <w:t>•  Norway's GPFG (Government Pension Fund Global) operates in a small homogeneous country with strong institutional culture and consensus-oriented politics. The US political system is structurally more polarized.</w:t>
            </w:r>
          </w:p>
          <w:p>
            <w:pPr>
              <w:spacing w:after="100" w:line="280"/>
            </w:pPr>
            <w:r>
              <w:rPr>
                <w:rFonts w:ascii="Georgia" w:cs="Georgia" w:eastAsia="Georgia" w:hAnsi="Georgia"/>
                <w:color w:val="1A1A1A"/>
                <w:sz w:val="21"/>
                <w:szCs w:val="21"/>
              </w:rPr>
              <w:t xml:space="preserve">•  Pressure to use fund balances for budget purposes during fiscal stress is the predictable failure mode for any large public fund.</w:t>
            </w:r>
          </w:p>
          <w:p>
            <w:pPr>
              <w:spacing w:after="100" w:line="280"/>
            </w:pPr>
            <w:r>
              <w:rPr>
                <w:rFonts w:ascii="Georgia" w:cs="Georgia" w:eastAsia="Georgia" w:hAnsi="Georgia"/>
                <w:color w:val="1A1A1A"/>
                <w:sz w:val="21"/>
                <w:szCs w:val="21"/>
              </w:rPr>
              <w:t xml:space="preserve">•  Pressure to use shareholder voting rights for partisan economic leverage is also predictable.</w:t>
            </w:r>
          </w:p>
          <w:p>
            <w:pPr>
              <w:spacing w:after="100" w:line="280"/>
            </w:pPr>
            <w:r>
              <w:rPr>
                <w:rFonts w:ascii="Georgia" w:cs="Georgia" w:eastAsia="Georgia" w:hAnsi="Georgia"/>
                <w:color w:val="1A1A1A"/>
                <w:sz w:val="21"/>
                <w:szCs w:val="21"/>
              </w:rPr>
              <w:t xml:space="preserve">•  The current platform documents articulate the governance problem but don't propose constitutional-level protections.</w:t>
            </w:r>
          </w:p>
        </w:tc>
      </w:tr>
    </w:tbl>
    <w:p>
      <w:pPr>
        <w:pStyle w:val="Heading2"/>
        <w:spacing w:after="160" w:before="360"/>
      </w:pPr>
      <w:r>
        <w:rPr>
          <w:rFonts w:ascii="Arial" w:cs="Arial" w:eastAsia="Arial" w:hAnsi="Arial"/>
          <w:b/>
          <w:bCs/>
          <w:color w:val="1F4E78"/>
          <w:sz w:val="28"/>
          <w:szCs w:val="28"/>
        </w:rPr>
        <w:t xml:space="preserve">What Could Mitigate This</w:t>
      </w:r>
    </w:p>
    <w:p>
      <w:pPr>
        <w:spacing w:after="200" w:line="320"/>
        <w:jc w:val="both"/>
      </w:pPr>
      <w:r>
        <w:rPr>
          <w:rFonts w:ascii="Georgia" w:cs="Georgia" w:eastAsia="Georgia" w:hAnsi="Georgia"/>
          <w:color w:val="1A1A1A"/>
          <w:sz w:val="22"/>
          <w:szCs w:val="22"/>
        </w:rPr>
        <w:t xml:space="preserve">Several governance design choices could address the vulnerability beyond what the current platform documents propose. Some are conventional governance design; others would require constitutional protection that the current platform doesn't claim.</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Mitigations within the platform's existing scope</w:t>
            </w:r>
          </w:p>
          <w:p>
            <w:pPr>
              <w:spacing w:after="100" w:line="280"/>
            </w:pPr>
            <w:r>
              <w:rPr>
                <w:rFonts w:ascii="Georgia" w:cs="Georgia" w:eastAsia="Georgia" w:hAnsi="Georgia"/>
                <w:color w:val="1A1A1A"/>
                <w:sz w:val="21"/>
                <w:szCs w:val="21"/>
              </w:rPr>
              <w:t xml:space="preserve">•  Mandate passive index investing only — no active stock selection, no shareholder activism. The fund would hold market-weighted positions and vote consistently with simple disclosed rules (e.g., always vote with management on routine matters, abstain on contested matters).</w:t>
            </w:r>
          </w:p>
          <w:p>
            <w:pPr>
              <w:spacing w:after="100" w:line="280"/>
            </w:pPr>
            <w:r>
              <w:rPr>
                <w:rFonts w:ascii="Georgia" w:cs="Georgia" w:eastAsia="Georgia" w:hAnsi="Georgia"/>
                <w:color w:val="1A1A1A"/>
                <w:sz w:val="21"/>
                <w:szCs w:val="21"/>
              </w:rPr>
              <w:t xml:space="preserve">•  Split the fund into multiple smaller funds with separate independent boards rather than a single mega-fund. Each fund manages a different age cohort or pillar. This reduces concentration risk and political leverage.</w:t>
            </w:r>
          </w:p>
          <w:p>
            <w:pPr>
              <w:spacing w:after="100" w:line="280"/>
            </w:pPr>
            <w:r>
              <w:rPr>
                <w:rFonts w:ascii="Georgia" w:cs="Georgia" w:eastAsia="Georgia" w:hAnsi="Georgia"/>
                <w:color w:val="1A1A1A"/>
                <w:sz w:val="21"/>
                <w:szCs w:val="21"/>
              </w:rPr>
              <w:t xml:space="preserve">•  Distribute voting rights to participating workers rather than concentrating them in fund managers. Workers would receive periodic ballots reflecting their pro-rata ownership, with default options for workers who don't engage actively.</w:t>
            </w:r>
          </w:p>
          <w:p>
            <w:pPr>
              <w:spacing w:after="100" w:line="280"/>
            </w:pPr>
            <w:r>
              <w:rPr>
                <w:rFonts w:ascii="Georgia" w:cs="Georgia" w:eastAsia="Georgia" w:hAnsi="Georgia"/>
                <w:color w:val="1A1A1A"/>
                <w:sz w:val="21"/>
                <w:szCs w:val="21"/>
              </w:rPr>
              <w:t xml:space="preserve">•  Establish strict supermajority requirements (75-80%) for any change to fund disbursement formulas, asset allocation rules, or governance structure. Routine bipartisan supermajorities are achievable; partisan supermajorities are not.</w:t>
            </w:r>
          </w:p>
          <w:p>
            <w:pPr>
              <w:spacing w:after="100" w:line="280"/>
            </w:pPr>
            <w:r>
              <w:rPr>
                <w:rFonts w:ascii="Georgia" w:cs="Georgia" w:eastAsia="Georgia" w:hAnsi="Georgia"/>
                <w:color w:val="1A1A1A"/>
                <w:sz w:val="21"/>
                <w:szCs w:val="21"/>
              </w:rPr>
              <w:t xml:space="preserve">•  Require quarterly transparent public reporting with independent audit. Sunlight is genuinely the best disinfectant for governance failures.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Mitigations requiring structural protection beyond ordinary legislation</w:t>
            </w:r>
          </w:p>
          <w:p>
            <w:pPr>
              <w:spacing w:after="100" w:line="280"/>
            </w:pPr>
            <w:r>
              <w:rPr>
                <w:rFonts w:ascii="Georgia" w:cs="Georgia" w:eastAsia="Georgia" w:hAnsi="Georgia"/>
                <w:color w:val="1A1A1A"/>
                <w:sz w:val="21"/>
                <w:szCs w:val="21"/>
              </w:rPr>
              <w:t xml:space="preserve">•  Constitutional amendment establishing the fund's independence and prohibiting general-fund raids. This is the strongest protection but requires 38-state ratification — a significant political project in itself.</w:t>
            </w:r>
          </w:p>
          <w:p>
            <w:pPr>
              <w:spacing w:after="100" w:line="280"/>
            </w:pPr>
            <w:r>
              <w:rPr>
                <w:rFonts w:ascii="Georgia" w:cs="Georgia" w:eastAsia="Georgia" w:hAnsi="Georgia"/>
                <w:color w:val="1A1A1A"/>
                <w:sz w:val="21"/>
                <w:szCs w:val="21"/>
              </w:rPr>
              <w:t xml:space="preserve">•  Treaty-level commitment with international financial institutions (IMF, BIS) creating external accountability for fund governance. This is unconventional but provides backstop protection against domestic political failure.</w:t>
            </w:r>
          </w:p>
          <w:p>
            <w:pPr>
              <w:spacing w:after="100" w:line="280"/>
            </w:pPr>
            <w:r>
              <w:rPr>
                <w:rFonts w:ascii="Georgia" w:cs="Georgia" w:eastAsia="Georgia" w:hAnsi="Georgia"/>
                <w:color w:val="1A1A1A"/>
                <w:sz w:val="21"/>
                <w:szCs w:val="21"/>
              </w:rPr>
              <w:t xml:space="preserve">•  Trust structure with beneficiary standing — every American with a Sovereign Fund balance has legal standing to sue if the fund is misused. This converts political enforcement into judicial enforcement, which is harder to subvert.</w:t>
            </w:r>
          </w:p>
        </w:tc>
      </w:tr>
    </w:tbl>
    <w:p>
      <w:pPr>
        <w:pStyle w:val="Heading2"/>
        <w:spacing w:after="160" w:before="360"/>
      </w:pPr>
      <w:r>
        <w:rPr>
          <w:rFonts w:ascii="Arial" w:cs="Arial" w:eastAsia="Arial" w:hAnsi="Arial"/>
          <w:b/>
          <w:bCs/>
          <w:color w:val="1F4E78"/>
          <w:sz w:val="28"/>
          <w:szCs w:val="28"/>
        </w:rPr>
        <w:t xml:space="preserve">What Remains Unresolved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Real risks the platform cannot fully solve</w:t>
            </w:r>
          </w:p>
          <w:p>
            <w:pPr>
              <w:spacing w:after="100" w:line="280"/>
            </w:pPr>
            <w:r>
              <w:rPr>
                <w:rFonts w:ascii="Georgia" w:cs="Georgia" w:eastAsia="Georgia" w:hAnsi="Georgia"/>
                <w:color w:val="1A1A1A"/>
                <w:sz w:val="21"/>
                <w:szCs w:val="21"/>
              </w:rPr>
              <w:t xml:space="preserve">•  Constitutional protection requires constitutional politics, which the platform itself cannot create. A future constitutional convention or Article V process is uncertain.</w:t>
            </w:r>
          </w:p>
          <w:p>
            <w:pPr>
              <w:spacing w:after="100" w:line="280"/>
            </w:pPr>
            <w:r>
              <w:rPr>
                <w:rFonts w:ascii="Georgia" w:cs="Georgia" w:eastAsia="Georgia" w:hAnsi="Georgia"/>
                <w:color w:val="1A1A1A"/>
                <w:sz w:val="21"/>
                <w:szCs w:val="21"/>
              </w:rPr>
              <w:t xml:space="preserve">•  Even strong governance structures can be eroded gradually through institutional capture over decades. Norway's GPFG is 35 years old. The platform's fund would need to remain governance-protected for 60+ years to reach maturity.</w:t>
            </w:r>
          </w:p>
          <w:p>
            <w:pPr>
              <w:spacing w:after="100" w:line="280"/>
            </w:pPr>
            <w:r>
              <w:rPr>
                <w:rFonts w:ascii="Georgia" w:cs="Georgia" w:eastAsia="Georgia" w:hAnsi="Georgia"/>
                <w:color w:val="1A1A1A"/>
                <w:sz w:val="21"/>
                <w:szCs w:val="21"/>
              </w:rPr>
              <w:t xml:space="preserve">•  International coordination requires international agreement, which depends on factors the platform has no control over.</w:t>
            </w:r>
          </w:p>
          <w:p>
            <w:pPr>
              <w:spacing w:after="100" w:line="280"/>
            </w:pPr>
            <w:r>
              <w:rPr>
                <w:rFonts w:ascii="Georgia" w:cs="Georgia" w:eastAsia="Georgia" w:hAnsi="Georgia"/>
                <w:color w:val="1A1A1A"/>
                <w:sz w:val="21"/>
                <w:szCs w:val="21"/>
              </w:rPr>
              <w:t xml:space="preserve">•  Strict passive investing reduces the fund's ability to allocate capital strategically (e.g., toward green infrastructure, domestic industry). This is a real trade-off; reducing political risk reduces strategic capability.</w:t>
            </w:r>
          </w:p>
        </w:tc>
      </w:tr>
    </w:tbl>
    <w:p>
      <w:pPr>
        <w:pStyle w:val="Heading2"/>
        <w:spacing w:after="160" w:before="360"/>
      </w:pPr>
      <w:r>
        <w:rPr>
          <w:rFonts w:ascii="Arial" w:cs="Arial" w:eastAsia="Arial" w:hAnsi="Arial"/>
          <w:b/>
          <w:bCs/>
          <w:color w:val="1F4E78"/>
          <w:sz w:val="28"/>
          <w:szCs w:val="28"/>
        </w:rPr>
        <w:t xml:space="preserve">Recommended Action</w:t>
      </w:r>
    </w:p>
    <w:p>
      <w:pPr>
        <w:spacing w:after="200" w:line="320"/>
        <w:jc w:val="both"/>
      </w:pPr>
      <w:r>
        <w:rPr>
          <w:rFonts w:ascii="Georgia" w:cs="Georgia" w:eastAsia="Georgia" w:hAnsi="Georgia"/>
          <w:color w:val="1A1A1A"/>
          <w:sz w:val="22"/>
          <w:szCs w:val="22"/>
        </w:rPr>
        <w:t xml:space="preserve">The platform's next version should include a dedicated governance design document that articulates the multi-layer mitigation strategy: passive indexing as the default, split fund architecture, distributed voting rights, supermajority change requirements, and transparent reporting. The constitutional protection question should be acknowledged as desirable but treated as out of scope for the platform itself — it's a political project that follows from platform success rather than a precondition for it. The honest acknowledgment that even strong governance can erode over decades should remain in the documents; pretending otherwise undermines the credibility of everything else.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“Gemini is right that this is the hardest political problem. The platform should respond by articulating a multi-layer governance strategy honestly, while acknowledging that constitutional-level protection is a political project the platform alone cannot deliver.”</w:t>
            </w:r>
          </w:p>
        </w:tc>
      </w:tr>
    </w:tbl>
    <w:p>
      <w:r>
        <w:br w:type="page"/>
      </w:r>
    </w:p>
    <w:p>
      <w:pPr>
        <w:pStyle w:val="Heading1"/>
        <w:spacing w:after="240" w:before="480"/>
      </w:pPr>
      <w:r>
        <w:rPr>
          <w:rFonts w:ascii="Arial" w:cs="Arial" w:eastAsia="Arial" w:hAnsi="Arial"/>
          <w:b/>
          <w:bCs/>
          <w:color w:val="1F4E78"/>
          <w:sz w:val="36"/>
          <w:szCs w:val="36"/>
        </w:rPr>
        <w:t xml:space="preserve">Vulnerability 2: The $1.7 Trillion Healthcare Extraction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“The universal healthcare Model targets $9,500 per capita spending, down from over $14,612, yielding roughly $1.7T in annual savings. The math works, but those 'savings' are currently top-line revenue for hospitals, pharmaceutical companies, and insurance administrators. Transitioning to a multi-payer system requires brutal price negotiations and massive cuts to administrative overhead. The medical lobby is the most powerful in Washington. The platform will need to explicitly address the economic shock of contracting the healthcare sector by $1.7 trillion and the inevitable consolidation of rural hospitals or specialist practices.”</w:t>
            </w:r>
          </w:p>
        </w:tc>
      </w:tr>
    </w:tbl>
    <w:p>
      <w:pPr>
        <w:pStyle w:val="Heading2"/>
        <w:spacing w:after="160" w:before="360"/>
      </w:pPr>
      <w:r>
        <w:rPr>
          <w:rFonts w:ascii="Arial" w:cs="Arial" w:eastAsia="Arial" w:hAnsi="Arial"/>
          <w:b/>
          <w:bCs/>
          <w:color w:val="1F4E78"/>
          <w:sz w:val="28"/>
          <w:szCs w:val="28"/>
        </w:rPr>
        <w:t xml:space="preserve">What's True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Accurate observations in the review</w:t>
            </w:r>
          </w:p>
          <w:p>
            <w:pPr>
              <w:spacing w:after="100" w:line="280"/>
            </w:pPr>
            <w:r>
              <w:rPr>
                <w:rFonts w:ascii="Georgia" w:cs="Georgia" w:eastAsia="Georgia" w:hAnsi="Georgia"/>
                <w:color w:val="1A1A1A"/>
                <w:sz w:val="21"/>
                <w:szCs w:val="21"/>
              </w:rPr>
              <w:t xml:space="preserve">•  The $1.7T annual savings represents lost revenue for healthcare institutions, not free money found in a couch cushion.</w:t>
            </w:r>
          </w:p>
          <w:p>
            <w:pPr>
              <w:spacing w:after="100" w:line="280"/>
            </w:pPr>
            <w:r>
              <w:rPr>
                <w:rFonts w:ascii="Georgia" w:cs="Georgia" w:eastAsia="Georgia" w:hAnsi="Georgia"/>
                <w:color w:val="1A1A1A"/>
                <w:sz w:val="21"/>
                <w:szCs w:val="21"/>
              </w:rPr>
              <w:t xml:space="preserve">•  The American medical lobby is exceptionally powerful and has successfully blocked every previous comprehensive healthcare reform attempt.</w:t>
            </w:r>
          </w:p>
          <w:p>
            <w:pPr>
              <w:spacing w:after="100" w:line="280"/>
            </w:pPr>
            <w:r>
              <w:rPr>
                <w:rFonts w:ascii="Georgia" w:cs="Georgia" w:eastAsia="Georgia" w:hAnsi="Georgia"/>
                <w:color w:val="1A1A1A"/>
                <w:sz w:val="21"/>
                <w:szCs w:val="21"/>
              </w:rPr>
              <w:t xml:space="preserve">•  The multi-payer transition (German/Japanese-style) requires substantial price negotiation and administrative reorganization.</w:t>
            </w:r>
          </w:p>
          <w:p>
            <w:pPr>
              <w:spacing w:after="100" w:line="280"/>
            </w:pPr>
            <w:r>
              <w:rPr>
                <w:rFonts w:ascii="Georgia" w:cs="Georgia" w:eastAsia="Georgia" w:hAnsi="Georgia"/>
                <w:color w:val="1A1A1A"/>
                <w:sz w:val="21"/>
                <w:szCs w:val="21"/>
              </w:rPr>
              <w:t xml:space="preserve">•  Rural hospitals and small specialist practices are economically fragile under the current system; aggressive savings extraction could accelerate their collapse.</w:t>
            </w:r>
          </w:p>
          <w:p>
            <w:pPr>
              <w:spacing w:after="100" w:line="280"/>
            </w:pPr>
            <w:r>
              <w:rPr>
                <w:rFonts w:ascii="Georgia" w:cs="Georgia" w:eastAsia="Georgia" w:hAnsi="Georgia"/>
                <w:color w:val="1A1A1A"/>
                <w:sz w:val="21"/>
                <w:szCs w:val="21"/>
              </w:rPr>
              <w:t xml:space="preserve">•  The Path to Reality document acknowledges healthcare workforce displacement (~600,000 administrative positions) but doesn't fully address the broader economic shock.</w:t>
            </w:r>
          </w:p>
        </w:tc>
      </w:tr>
    </w:tbl>
    <w:p>
      <w:pPr>
        <w:pStyle w:val="Heading2"/>
        <w:spacing w:after="160" w:before="360"/>
      </w:pPr>
      <w:r>
        <w:rPr>
          <w:rFonts w:ascii="Arial" w:cs="Arial" w:eastAsia="Arial" w:hAnsi="Arial"/>
          <w:b/>
          <w:bCs/>
          <w:color w:val="1F4E78"/>
          <w:sz w:val="28"/>
          <w:szCs w:val="28"/>
        </w:rPr>
        <w:t xml:space="preserve">What Could Mitigate This</w:t>
      </w:r>
    </w:p>
    <w:p>
      <w:pPr>
        <w:spacing w:after="200" w:line="320"/>
        <w:jc w:val="both"/>
      </w:pPr>
      <w:r>
        <w:rPr>
          <w:rFonts w:ascii="Georgia" w:cs="Georgia" w:eastAsia="Georgia" w:hAnsi="Georgia"/>
          <w:color w:val="1A1A1A"/>
          <w:sz w:val="22"/>
          <w:szCs w:val="22"/>
        </w:rPr>
        <w:t>The platform's existing approach addresses some but not all of these concerns. The universal healthcare Model assumes a 10-year glide path rather than immediate transition, which spreads the economic shock. The Path to Reality document includes workforce transition support. But the review correctly identifies that more is needed.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Additional mitigations the platform should incorporate</w:t>
            </w:r>
          </w:p>
          <w:p>
            <w:pPr>
              <w:spacing w:after="100" w:line="280"/>
            </w:pPr>
            <w:r>
              <w:rPr>
                <w:rFonts w:ascii="Georgia" w:cs="Georgia" w:eastAsia="Georgia" w:hAnsi="Georgia"/>
                <w:color w:val="1A1A1A"/>
                <w:sz w:val="21"/>
                <w:szCs w:val="21"/>
              </w:rPr>
              <w:t xml:space="preserve">•  Phased savings extraction: target $9,500 per capita over 15 years rather than 10, with explicit milestones at 5-year intervals. Slower extraction reduces the shock and gives the healthcare sector time to adapt.</w:t>
            </w:r>
          </w:p>
          <w:p>
            <w:pPr>
              <w:spacing w:after="100" w:line="280"/>
            </w:pPr>
            <w:r>
              <w:rPr>
                <w:rFonts w:ascii="Georgia" w:cs="Georgia" w:eastAsia="Georgia" w:hAnsi="Georgia"/>
                <w:color w:val="1A1A1A"/>
                <w:sz w:val="21"/>
                <w:szCs w:val="21"/>
              </w:rPr>
              <w:t xml:space="preserve">•  Rural hospital protection program: a dedicated funding stream that supplements rural hospital reimbursement above standard rates to maintain access in low-density areas. This addresses the legitimate concern that aggressive cost containment could accelerate rural healthcare collapse.</w:t>
            </w:r>
          </w:p>
          <w:p>
            <w:pPr>
              <w:spacing w:after="100" w:line="280"/>
            </w:pPr>
            <w:r>
              <w:rPr>
                <w:rFonts w:ascii="Georgia" w:cs="Georgia" w:eastAsia="Georgia" w:hAnsi="Georgia"/>
                <w:color w:val="1A1A1A"/>
                <w:sz w:val="21"/>
                <w:szCs w:val="21"/>
              </w:rPr>
              <w:t xml:space="preserve">•  Administrative worker transition support: a program specifically designed for the ~600,000 displaced administrative workers, including extended unemployment benefits, retraining for clinical-adjacent roles, and education fund priority access. This is a real, fundable obligation rather than a vague gesture.</w:t>
            </w:r>
          </w:p>
          <w:p>
            <w:pPr>
              <w:spacing w:after="100" w:line="280"/>
            </w:pPr>
            <w:r>
              <w:rPr>
                <w:rFonts w:ascii="Georgia" w:cs="Georgia" w:eastAsia="Georgia" w:hAnsi="Georgia"/>
                <w:color w:val="1A1A1A"/>
                <w:sz w:val="21"/>
                <w:szCs w:val="21"/>
              </w:rPr>
              <w:t xml:space="preserve">•  Pharmaceutical innovation continuity fund: a portion of negotiated drug savings reinvested in NIH and ARPA-H grants to maintain innovation incentive when the captive American market premium is reduced.</w:t>
            </w:r>
          </w:p>
          <w:p>
            <w:pPr>
              <w:spacing w:after="100" w:line="280"/>
            </w:pPr>
            <w:r>
              <w:rPr>
                <w:rFonts w:ascii="Georgia" w:cs="Georgia" w:eastAsia="Georgia" w:hAnsi="Georgia"/>
                <w:color w:val="1A1A1A"/>
                <w:sz w:val="21"/>
                <w:szCs w:val="21"/>
              </w:rPr>
              <w:t xml:space="preserve">•  Specialist practice transition: voluntary buyout program for specialists in high-saturation markets, freeing capacity for underserved areas. This is more humane than the involuntary consolidation that pure cost containment would produce.</w:t>
            </w:r>
          </w:p>
          <w:p>
            <w:pPr>
              <w:spacing w:after="100" w:line="280"/>
            </w:pPr>
            <w:r>
              <w:rPr>
                <w:rFonts w:ascii="Georgia" w:cs="Georgia" w:eastAsia="Georgia" w:hAnsi="Georgia"/>
                <w:color w:val="1A1A1A"/>
                <w:sz w:val="21"/>
                <w:szCs w:val="21"/>
              </w:rPr>
              <w:t xml:space="preserve">•  International coordination on pharmaceutical pricing: rather than American consumers alone bearing innovation costs through high prices, negotiate coordinated pricing with peer nations so innovation costs are shared internationally.</w:t>
            </w:r>
          </w:p>
        </w:tc>
      </w:tr>
    </w:tbl>
    <w:p>
      <w:pPr>
        <w:pStyle w:val="Heading2"/>
        <w:spacing w:after="160" w:before="360"/>
      </w:pPr>
      <w:r>
        <w:rPr>
          <w:rFonts w:ascii="Arial" w:cs="Arial" w:eastAsia="Arial" w:hAnsi="Arial"/>
          <w:b/>
          <w:bCs/>
          <w:color w:val="1F4E78"/>
          <w:sz w:val="28"/>
          <w:szCs w:val="28"/>
        </w:rPr>
        <w:t xml:space="preserve">What Remains Unresolved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Real risks the platform cannot fully solve</w:t>
            </w:r>
          </w:p>
          <w:p>
            <w:pPr>
              <w:spacing w:after="100" w:line="280"/>
            </w:pPr>
            <w:r>
              <w:rPr>
                <w:rFonts w:ascii="Georgia" w:cs="Georgia" w:eastAsia="Georgia" w:hAnsi="Georgia"/>
                <w:color w:val="1A1A1A"/>
                <w:sz w:val="21"/>
                <w:szCs w:val="21"/>
              </w:rPr>
              <w:t xml:space="preserve">•  The medical lobby will oppose the platform regardless of how thoughtful the transition design is. No amount of mitigation eliminates this opposition; the question is whether the political coalition supporting the platform is strong enough to overcome it.</w:t>
            </w:r>
          </w:p>
          <w:p>
            <w:pPr>
              <w:spacing w:after="100" w:line="280"/>
            </w:pPr>
            <w:r>
              <w:rPr>
                <w:rFonts w:ascii="Georgia" w:cs="Georgia" w:eastAsia="Georgia" w:hAnsi="Georgia"/>
                <w:color w:val="1A1A1A"/>
                <w:sz w:val="21"/>
                <w:szCs w:val="21"/>
              </w:rPr>
              <w:t xml:space="preserve">•  Some healthcare institutions will not survive the transition. Some specialist practices will close. Some pharmaceutical company business models will not work. These are real human and economic costs even with mitigation programs.</w:t>
            </w:r>
          </w:p>
          <w:p>
            <w:pPr>
              <w:spacing w:after="100" w:line="280"/>
            </w:pPr>
            <w:r>
              <w:rPr>
                <w:rFonts w:ascii="Georgia" w:cs="Georgia" w:eastAsia="Georgia" w:hAnsi="Georgia"/>
                <w:color w:val="1A1A1A"/>
                <w:sz w:val="21"/>
                <w:szCs w:val="21"/>
              </w:rPr>
              <w:t xml:space="preserve">•  International coordination on pharmaceutical pricing requires international cooperation, which depends on factors the platform has no control over.</w:t>
            </w:r>
          </w:p>
          <w:p>
            <w:pPr>
              <w:spacing w:after="100" w:line="280"/>
            </w:pPr>
            <w:r>
              <w:rPr>
                <w:rFonts w:ascii="Georgia" w:cs="Georgia" w:eastAsia="Georgia" w:hAnsi="Georgia"/>
                <w:color w:val="1A1A1A"/>
                <w:sz w:val="21"/>
                <w:szCs w:val="21"/>
              </w:rPr>
              <w:t xml:space="preserve">•  The 15-year glide path produces less savings during the early years, which delays the surplus needed to fund retroactive medical debt retirement and other compound benefits. Slowing the savings extraction has real opportunity costs.</w:t>
            </w:r>
          </w:p>
        </w:tc>
      </w:tr>
    </w:tbl>
    <w:p>
      <w:pPr>
        <w:pStyle w:val="Heading2"/>
        <w:spacing w:after="160" w:before="360"/>
      </w:pPr>
      <w:r>
        <w:rPr>
          <w:rFonts w:ascii="Arial" w:cs="Arial" w:eastAsia="Arial" w:hAnsi="Arial"/>
          <w:b/>
          <w:bCs/>
          <w:color w:val="1F4E78"/>
          <w:sz w:val="28"/>
          <w:szCs w:val="28"/>
        </w:rPr>
        <w:t xml:space="preserve">Recommended Action</w:t>
      </w:r>
    </w:p>
    <w:p>
      <w:pPr>
        <w:spacing w:after="200" w:line="320"/>
        <w:jc w:val="both"/>
      </w:pPr>
      <w:r>
        <w:rPr>
          <w:rFonts w:ascii="Georgia" w:cs="Georgia" w:eastAsia="Georgia" w:hAnsi="Georgia"/>
          <w:color w:val="1A1A1A"/>
          <w:sz w:val="22"/>
          <w:szCs w:val="22"/>
        </w:rPr>
        <w:t>The platform's next version should include a Healthcare Transition Detailed Plan document that articulates the phased savings approach, rural hospital protection mechanism, administrative worker transition program, and specialist practice transition design. The universal healthcare Model should add a sensitivity analysis showing outcomes under 10-year, 15-year, and 20-year glide paths, so readers can see the trade-offs explicitly. The political opposition challenge should be acknowledged honestly — the platform succeeds or fails based on coalition strength, not based on transition design alone.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medical lobby will oppose this. The question is whether thoughtful transition design plus broad citizen support is enough to overcome that opposition. The platform's mitigation work should make it harder to oppose, not easier to ignore.”</w:t>
            </w:r>
          </w:p>
        </w:tc>
      </w:tr>
    </w:tbl>
    <w:p>
      <w:r>
        <w:br w:type="page"/>
      </w:r>
    </w:p>
    <w:p>
      <w:pPr>
        <w:pStyle w:val="Heading1"/>
        <w:spacing w:after="240" w:before="480"/>
      </w:pPr>
      <w:r>
        <w:rPr>
          <w:rFonts w:ascii="Arial" w:cs="Arial" w:eastAsia="Arial" w:hAnsi="Arial"/>
          <w:b/>
          <w:bCs/>
          <w:color w:val="1F4E78"/>
          <w:sz w:val="36"/>
          <w:szCs w:val="36"/>
        </w:rPr>
        <w:t xml:space="preserve">Vulnerability 3: Sequence of Returns Risk</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 xml:space="preserve">“The Combined Reform Model assumes a steady 6% real return for the Sovereign Fund. Over 60 years, that is historically accurate. What happens if the US experiences a prolonged market contraction or a 'lost decade' right in years 5 through 15 of the transition? This is the exact moment when the system is supposed to be paying out the massive tax credit ladders to phased-out workers while also covering grandfathered Social Security beneficiaries. A market crash early in the accumulation phase could force the system to take on crippling debt, undermining the equilibrium. The model needs a stress-test scenario for a major early-stage recession.”</w:t>
            </w:r>
          </w:p>
        </w:tc>
      </w:tr>
    </w:tbl>
    <w:p>
      <w:pPr>
        <w:pStyle w:val="Heading2"/>
        <w:spacing w:after="160" w:before="360"/>
      </w:pPr>
      <w:r>
        <w:rPr>
          <w:rFonts w:ascii="Arial" w:cs="Arial" w:eastAsia="Arial" w:hAnsi="Arial"/>
          <w:b/>
          <w:bCs/>
          <w:color w:val="1F4E78"/>
          <w:sz w:val="28"/>
          <w:szCs w:val="28"/>
        </w:rPr>
        <w:t xml:space="preserve">What's True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Accurate observations in the review</w:t>
            </w:r>
          </w:p>
          <w:p>
            <w:pPr>
              <w:spacing w:after="100" w:line="280"/>
            </w:pPr>
            <w:r>
              <w:rPr>
                <w:rFonts w:ascii="Georgia" w:cs="Georgia" w:eastAsia="Georgia" w:hAnsi="Georgia"/>
                <w:color w:val="1A1A1A"/>
                <w:sz w:val="21"/>
                <w:szCs w:val="21"/>
              </w:rPr>
              <w:t xml:space="preserve">•  The Combined Reform Model uses steady 6% real returns, which is historically accurate as a long-run average but not a year-by-year reality.</w:t>
            </w:r>
          </w:p>
          <w:p>
            <w:pPr>
              <w:spacing w:after="100" w:line="280"/>
            </w:pPr>
            <w:r>
              <w:rPr>
                <w:rFonts w:ascii="Georgia" w:cs="Georgia" w:eastAsia="Georgia" w:hAnsi="Georgia"/>
                <w:color w:val="1A1A1A"/>
                <w:sz w:val="21"/>
                <w:szCs w:val="21"/>
              </w:rPr>
              <w:t xml:space="preserve">•  Years 5-15 of the transition are when the platform faces maximum cash demands: tax credit ladders for phased-out workers, grandfathered Social Security beneficiaries, and pillar buildout costs.</w:t>
            </w:r>
          </w:p>
          <w:p>
            <w:pPr>
              <w:spacing w:after="100" w:line="280"/>
            </w:pPr>
            <w:r>
              <w:rPr>
                <w:rFonts w:ascii="Georgia" w:cs="Georgia" w:eastAsia="Georgia" w:hAnsi="Georgia"/>
                <w:color w:val="1A1A1A"/>
                <w:sz w:val="21"/>
                <w:szCs w:val="21"/>
              </w:rPr>
              <w:t xml:space="preserve">•  A prolonged market contraction during this period would produce both reduced fund returns AND increased fiscal stress (recessions reduce payroll contributions while increasing benefit demands).</w:t>
            </w:r>
          </w:p>
          <w:p>
            <w:pPr>
              <w:spacing w:after="100" w:line="280"/>
            </w:pPr>
            <w:r>
              <w:rPr>
                <w:rFonts w:ascii="Georgia" w:cs="Georgia" w:eastAsia="Georgia" w:hAnsi="Georgia"/>
                <w:color w:val="1A1A1A"/>
                <w:sz w:val="21"/>
                <w:szCs w:val="21"/>
              </w:rPr>
              <w:t xml:space="preserve">•  Historical precedents for prolonged contractions exist: 1966-1982 (16 years of stagnant real returns), 2000-2010 (lost decade in equities), 1929-1945 (Depression and war).</w:t>
            </w:r>
          </w:p>
          <w:p>
            <w:pPr>
              <w:spacing w:after="100" w:line="280"/>
            </w:pPr>
            <w:r>
              <w:rPr>
                <w:rFonts w:ascii="Georgia" w:cs="Georgia" w:eastAsia="Georgia" w:hAnsi="Georgia"/>
                <w:color w:val="1A1A1A"/>
                <w:sz w:val="21"/>
                <w:szCs w:val="21"/>
              </w:rPr>
              <w:t xml:space="preserve">•  The platform's existing models don't include stress-test scenarios for these conditions.</w:t>
            </w:r>
          </w:p>
        </w:tc>
      </w:tr>
    </w:tbl>
    <w:p>
      <w:pPr>
        <w:pStyle w:val="Heading2"/>
        <w:spacing w:after="160" w:before="360"/>
      </w:pPr>
      <w:r>
        <w:rPr>
          <w:rFonts w:ascii="Arial" w:cs="Arial" w:eastAsia="Arial" w:hAnsi="Arial"/>
          <w:b/>
          <w:bCs/>
          <w:color w:val="1F4E78"/>
          <w:sz w:val="28"/>
          <w:szCs w:val="28"/>
        </w:rPr>
        <w:t xml:space="preserve">What Could Mitigate This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Mitigations the platform should incorporate</w:t>
            </w:r>
          </w:p>
          <w:p>
            <w:pPr>
              <w:spacing w:after="100" w:line="280"/>
            </w:pPr>
            <w:r>
              <w:rPr>
                <w:rFonts w:ascii="Georgia" w:cs="Georgia" w:eastAsia="Georgia" w:hAnsi="Georgia"/>
                <w:color w:val="1A1A1A"/>
                <w:sz w:val="21"/>
                <w:szCs w:val="21"/>
              </w:rPr>
              <w:t xml:space="preserve">•  Buffer fund: explicit cash and short-duration bond reserve sized to cover 3-5 years of obligations without requiring fund liquidation. This prevents forced selling at market lows during prolonged downturns.</w:t>
            </w:r>
          </w:p>
          <w:p>
            <w:pPr>
              <w:spacing w:after="100" w:line="280"/>
            </w:pPr>
            <w:r>
              <w:rPr>
                <w:rFonts w:ascii="Georgia" w:cs="Georgia" w:eastAsia="Georgia" w:hAnsi="Georgia"/>
                <w:color w:val="1A1A1A"/>
                <w:sz w:val="21"/>
                <w:szCs w:val="21"/>
              </w:rPr>
              <w:t xml:space="preserve">•  Variable disbursement rate: instead of a fixed 1.2% disbursement, implement a 0.8%-1.6% range that scales down during prolonged drawdowns and scales up during sustained gains. This is how Norway's GPFG actually operates in practice.</w:t>
            </w:r>
          </w:p>
          <w:p>
            <w:pPr>
              <w:spacing w:after="100" w:line="280"/>
            </w:pPr>
            <w:r>
              <w:rPr>
                <w:rFonts w:ascii="Georgia" w:cs="Georgia" w:eastAsia="Georgia" w:hAnsi="Georgia"/>
                <w:color w:val="1A1A1A"/>
                <w:sz w:val="21"/>
                <w:szCs w:val="21"/>
              </w:rPr>
              <w:t xml:space="preserve">•  Backstop borrowing authority: pre-authorized federal borrowing capacity specifically for transition years that would activate only during defined market stress conditions. This is fiscally safer than ad-hoc emergency legislation under crisis pressure.</w:t>
            </w:r>
          </w:p>
          <w:p>
            <w:pPr>
              <w:spacing w:after="100" w:line="280"/>
            </w:pPr>
            <w:r>
              <w:rPr>
                <w:rFonts w:ascii="Georgia" w:cs="Georgia" w:eastAsia="Georgia" w:hAnsi="Georgia"/>
                <w:color w:val="1A1A1A"/>
                <w:sz w:val="21"/>
                <w:szCs w:val="21"/>
              </w:rPr>
              <w:t xml:space="preserve">•  Diversified asset allocation beyond US equities: international equities, fixed income, real estate, infrastructure, commodities. The 6% real return assumption is more defensible across a 60/30/10 portfolio than across a US-equity-only portfolio.</w:t>
            </w:r>
          </w:p>
          <w:p>
            <w:pPr>
              <w:spacing w:after="100" w:line="280"/>
            </w:pPr>
            <w:r>
              <w:rPr>
                <w:rFonts w:ascii="Georgia" w:cs="Georgia" w:eastAsia="Georgia" w:hAnsi="Georgia"/>
                <w:color w:val="1A1A1A"/>
                <w:sz w:val="21"/>
                <w:szCs w:val="21"/>
              </w:rPr>
              <w:t xml:space="preserve">•  Glide path for grandfathered Social Security: instead of full benefits maintained throughout the transition, modest means-testing or COLA reduction for higher-income grandfathered beneficiaries during severe market stress. This preserves the protection commitment while creating flexibility.</w:t>
            </w:r>
          </w:p>
          <w:p>
            <w:pPr>
              <w:spacing w:after="100" w:line="280"/>
            </w:pPr>
            <w:r>
              <w:rPr>
                <w:rFonts w:ascii="Georgia" w:cs="Georgia" w:eastAsia="Georgia" w:hAnsi="Georgia"/>
                <w:color w:val="1A1A1A"/>
                <w:sz w:val="21"/>
                <w:szCs w:val="21"/>
              </w:rPr>
              <w:t xml:space="preserve">•  Workforce expansion timing flexibility: childcare and mental health workforce buildouts can be slowed during severe fiscal stress without breaking commitments to current beneficiaries.</w:t>
            </w:r>
          </w:p>
        </w:tc>
      </w:tr>
    </w:tbl>
    <w:p>
      <w:pPr>
        <w:pStyle w:val="Heading2"/>
        <w:spacing w:after="160" w:before="360"/>
      </w:pPr>
      <w:r>
        <w:rPr>
          <w:rFonts w:ascii="Arial" w:cs="Arial" w:eastAsia="Arial" w:hAnsi="Arial"/>
          <w:b/>
          <w:bCs/>
          <w:color w:val="1F4E78"/>
          <w:sz w:val="28"/>
          <w:szCs w:val="28"/>
        </w:rPr>
        <w:t xml:space="preserve">Stress-Test Scenarios the Models Should Include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Specific scenarios to add</w:t>
            </w:r>
          </w:p>
          <w:p>
            <w:pPr>
              <w:spacing w:after="100" w:line="280"/>
            </w:pPr>
            <w:r>
              <w:rPr>
                <w:rFonts w:ascii="Georgia" w:cs="Georgia" w:eastAsia="Georgia" w:hAnsi="Georgia"/>
                <w:color w:val="1A1A1A"/>
                <w:sz w:val="21"/>
                <w:szCs w:val="21"/>
              </w:rPr>
              <w:t xml:space="preserve">•  Lost Decade scenario: 0% real returns for years 1-10, normal returns thereafter. Tests whether the buffer fund and variable disbursement rate are adequate.</w:t>
            </w:r>
          </w:p>
          <w:p>
            <w:pPr>
              <w:spacing w:after="100" w:line="280"/>
            </w:pPr>
            <w:r>
              <w:rPr>
                <w:rFonts w:ascii="Georgia" w:cs="Georgia" w:eastAsia="Georgia" w:hAnsi="Georgia"/>
                <w:color w:val="1A1A1A"/>
                <w:sz w:val="21"/>
                <w:szCs w:val="21"/>
              </w:rPr>
              <w:t xml:space="preserve">•  Early Crash scenario: -30% real return in year 3, slow recovery over years 4-8. Tests whether the system can absorb a sharp early shock.</w:t>
            </w:r>
          </w:p>
          <w:p>
            <w:pPr>
              <w:spacing w:after="100" w:line="280"/>
            </w:pPr>
            <w:r>
              <w:rPr>
                <w:rFonts w:ascii="Georgia" w:cs="Georgia" w:eastAsia="Georgia" w:hAnsi="Georgia"/>
                <w:color w:val="1A1A1A"/>
                <w:sz w:val="21"/>
                <w:szCs w:val="21"/>
              </w:rPr>
              <w:t xml:space="preserve">•  Stagflation scenario: 5% inflation, 2% nominal returns (negative real returns) for years 5-15. Tests whether benefit indexing assumptions hold.</w:t>
            </w:r>
          </w:p>
          <w:p>
            <w:pPr>
              <w:spacing w:after="100" w:line="280"/>
            </w:pPr>
            <w:r>
              <w:rPr>
                <w:rFonts w:ascii="Georgia" w:cs="Georgia" w:eastAsia="Georgia" w:hAnsi="Georgia"/>
                <w:color w:val="1A1A1A"/>
                <w:sz w:val="21"/>
                <w:szCs w:val="21"/>
              </w:rPr>
              <w:t xml:space="preserve">•  Demographic Shock scenario: birth rate falls 30% during transition years. Tests whether the Sovereign Fund accumulation projections survive cohort changes.</w:t>
            </w:r>
          </w:p>
          <w:p>
            <w:pPr>
              <w:spacing w:after="100" w:line="280"/>
            </w:pPr>
            <w:r>
              <w:rPr>
                <w:rFonts w:ascii="Georgia" w:cs="Georgia" w:eastAsia="Georgia" w:hAnsi="Georgia"/>
                <w:color w:val="1A1A1A"/>
                <w:sz w:val="21"/>
                <w:szCs w:val="21"/>
              </w:rPr>
              <w:t xml:space="preserve">•  Compound Crisis scenario: lost decade returns combined with prolonged recession (15% reduction in payroll contributions for 3 years). Tests resilience under the worst plausible combination.</w:t>
            </w:r>
          </w:p>
        </w:tc>
      </w:tr>
    </w:tbl>
    <w:p>
      <w:pPr>
        <w:pStyle w:val="Heading2"/>
        <w:spacing w:after="160" w:before="360"/>
      </w:pPr>
      <w:r>
        <w:rPr>
          <w:rFonts w:ascii="Arial" w:cs="Arial" w:eastAsia="Arial" w:hAnsi="Arial"/>
          <w:b/>
          <w:bCs/>
          <w:color w:val="1F4E78"/>
          <w:sz w:val="28"/>
          <w:szCs w:val="28"/>
        </w:rPr>
        <w:t xml:space="preserve">What Remains Unresolved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Real risks the platform cannot fully solve</w:t>
            </w:r>
          </w:p>
          <w:p>
            <w:pPr>
              <w:spacing w:after="100" w:line="280"/>
            </w:pPr>
            <w:r>
              <w:rPr>
                <w:rFonts w:ascii="Georgia" w:cs="Georgia" w:eastAsia="Georgia" w:hAnsi="Georgia"/>
                <w:color w:val="1A1A1A"/>
                <w:sz w:val="21"/>
                <w:szCs w:val="21"/>
              </w:rPr>
              <w:t xml:space="preserve">•  True black-swan events (war, pandemic, climate catastrophe) exceed any stress-test scenario the model can include. The platform must rely on the Future Capacity Fund and other emergency mechanisms for genuinely unforeseeable shocks.</w:t>
            </w:r>
          </w:p>
          <w:p>
            <w:pPr>
              <w:spacing w:after="100" w:line="280"/>
            </w:pPr>
            <w:r>
              <w:rPr>
                <w:rFonts w:ascii="Georgia" w:cs="Georgia" w:eastAsia="Georgia" w:hAnsi="Georgia"/>
                <w:color w:val="1A1A1A"/>
                <w:sz w:val="21"/>
                <w:szCs w:val="21"/>
              </w:rPr>
              <w:t xml:space="preserve">•  Buffer fund and variable disbursement reduce the platform's expected returns in normal conditions to gain stability in adverse conditions. This is a real trade-off, not a free improvement.</w:t>
            </w:r>
          </w:p>
          <w:p>
            <w:pPr>
              <w:spacing w:after="100" w:line="280"/>
            </w:pPr>
            <w:r>
              <w:rPr>
                <w:rFonts w:ascii="Georgia" w:cs="Georgia" w:eastAsia="Georgia" w:hAnsi="Georgia"/>
                <w:color w:val="1A1A1A"/>
                <w:sz w:val="21"/>
                <w:szCs w:val="21"/>
              </w:rPr>
              <w:t xml:space="preserve">•  Backstop borrowing authority creates moral hazard — future legislatures might invoke market stress to activate borrowing for unrelated purposes.</w:t>
            </w:r>
          </w:p>
          <w:p>
            <w:pPr>
              <w:spacing w:after="100" w:line="280"/>
            </w:pPr>
            <w:r>
              <w:rPr>
                <w:rFonts w:ascii="Georgia" w:cs="Georgia" w:eastAsia="Georgia" w:hAnsi="Georgia"/>
                <w:color w:val="1A1A1A"/>
                <w:sz w:val="21"/>
                <w:szCs w:val="21"/>
              </w:rPr>
              <w:t xml:space="preserve">•  Severe prolonged downturn might require benefit changes that weren't part of the original platform commitments. The platform should be honest that 60-year stability claims depend on market conditions broadly conforming to historical norms.</w:t>
            </w:r>
          </w:p>
        </w:tc>
      </w:tr>
    </w:tbl>
    <w:p>
      <w:pPr>
        <w:pStyle w:val="Heading2"/>
        <w:spacing w:after="160" w:before="360"/>
      </w:pPr>
      <w:r>
        <w:rPr>
          <w:rFonts w:ascii="Arial" w:cs="Arial" w:eastAsia="Arial" w:hAnsi="Arial"/>
          <w:b/>
          <w:bCs/>
          <w:color w:val="1F4E78"/>
          <w:sz w:val="28"/>
          <w:szCs w:val="28"/>
        </w:rPr>
        <w:t xml:space="preserve">Recommended Action</w:t>
      </w:r>
    </w:p>
    <w:p>
      <w:pPr>
        <w:spacing w:after="200" w:line="320"/>
        <w:jc w:val="both"/>
      </w:pPr>
      <w:r>
        <w:rPr>
          <w:rFonts w:ascii="Georgia" w:cs="Georgia" w:eastAsia="Georgia" w:hAnsi="Georgia"/>
          <w:color w:val="1A1A1A"/>
          <w:sz w:val="22"/>
          <w:szCs w:val="22"/>
        </w:rPr>
        <w:t xml:space="preserve">The platform's mathematical models should be updated to include the five stress-test scenarios above, with explicit visualization of how outcomes change under each. A new analytical framing document should articulate the buffer fund and variable disbursement rate mechanisms. The Combined Reform Model should add a worst-case scenario section showing what happens if multiple stresses combine. This is more analytical work than is feasible in this response document, but it's specifically the work Gemini's review identifies as needed.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“Gemini's stress-test concern is the most actionable of the four vulnerabilities. The mathematical work to add lost-decade, early-crash, and stagflation scenarios is feasible and would substantially strengthen the platform's defensibility.”</w:t>
            </w:r>
          </w:p>
        </w:tc>
      </w:tr>
    </w:tbl>
    <w:p>
      <w:r>
        <w:br w:type="page"/>
      </w:r>
    </w:p>
    <w:p>
      <w:pPr>
        <w:pStyle w:val="Heading1"/>
        <w:spacing w:after="240" w:before="480"/>
      </w:pPr>
      <w:r>
        <w:rPr>
          <w:rFonts w:ascii="Arial" w:cs="Arial" w:eastAsia="Arial" w:hAnsi="Arial"/>
          <w:b/>
          <w:bCs/>
          <w:color w:val="1F4E78"/>
          <w:sz w:val="36"/>
          <w:szCs w:val="36"/>
        </w:rPr>
        <w:t xml:space="preserve">Vulnerability 4: Childcare Workforce Capacity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00"/>
            </w:pPr>
            <w:r>
              <w:rPr>
                <w:rFonts w:ascii="Arial" w:cs="Arial" w:eastAsia="Arial" w:hAnsi="Arial"/>
                <w:b/>
                <w:bCs/>
                <w:color w:val="1F4E78"/>
                <w:sz w:val="18"/>
                <w:szCs w:val="18"/>
              </w:rPr>
              <w:t xml:space="preserve">FROM THE GEMINI REVIEW:</w:t>
            </w:r>
          </w:p>
          <w:p>
            <w:pPr>
              <w:spacing w:line="300"/>
            </w:pPr>
            <w:r>
              <w:rPr>
                <w:rFonts w:ascii="Georgia" w:cs="Georgia" w:eastAsia="Georgia" w:hAnsi="Georgia"/>
                <w:i/>
                <w:iCs/>
                <w:color w:val="1A1A1A"/>
                <w:sz w:val="22"/>
                <w:szCs w:val="22"/>
              </w:rPr>
              <w:t>“The universal childcare Model assumes the creation of a massive new formalized system. The constraint here isn't just money; it's labor. Even with the target wage raised to $42K/year, finding, training, and retaining the hundreds of thousands of new early childhood educators required to meet an 85% utilization rate will take years. The 'buildout' phase might need to be longer than 12 years simply due to human capital constraints.”</w:t>
            </w:r>
          </w:p>
        </w:tc>
      </w:tr>
    </w:tbl>
    <w:p>
      <w:pPr>
        <w:pStyle w:val="Heading2"/>
        <w:spacing w:after="160" w:before="360"/>
      </w:pPr>
      <w:r>
        <w:rPr>
          <w:rFonts w:ascii="Arial" w:cs="Arial" w:eastAsia="Arial" w:hAnsi="Arial"/>
          <w:b/>
          <w:bCs/>
          <w:color w:val="1F4E78"/>
          <w:sz w:val="28"/>
          <w:szCs w:val="28"/>
        </w:rPr>
        <w:t xml:space="preserve">What's True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Accurate observations in the review</w:t>
            </w:r>
          </w:p>
          <w:p>
            <w:pPr>
              <w:spacing w:after="100" w:line="280"/>
            </w:pPr>
            <w:r>
              <w:rPr>
                <w:rFonts w:ascii="Georgia" w:cs="Georgia" w:eastAsia="Georgia" w:hAnsi="Georgia"/>
                <w:color w:val="1A1A1A"/>
                <w:sz w:val="21"/>
                <w:szCs w:val="21"/>
              </w:rPr>
              <w:t>•  The universal childcare Model targets a workforce of approximately 1.4 million workers — substantially larger than the current childcare workforce.</w:t>
            </w:r>
          </w:p>
          <w:p>
            <w:pPr>
              <w:spacing w:after="100" w:line="280"/>
            </w:pPr>
            <w:r>
              <w:rPr>
                <w:rFonts w:ascii="Georgia" w:cs="Georgia" w:eastAsia="Georgia" w:hAnsi="Georgia"/>
                <w:color w:val="1A1A1A"/>
                <w:sz w:val="21"/>
                <w:szCs w:val="21"/>
              </w:rPr>
              <w:t xml:space="preserve">•  Workforce expansion at this scale takes time regardless of funding. Training programs, credentialing pathways, and labor market signals all operate on multi-year timescales.</w:t>
            </w:r>
          </w:p>
          <w:p>
            <w:pPr>
              <w:spacing w:after="100" w:line="280"/>
            </w:pPr>
            <w:r>
              <w:rPr>
                <w:rFonts w:ascii="Georgia" w:cs="Georgia" w:eastAsia="Georgia" w:hAnsi="Georgia"/>
                <w:color w:val="1A1A1A"/>
                <w:sz w:val="21"/>
                <w:szCs w:val="21"/>
              </w:rPr>
              <w:t xml:space="preserve">•  The current childcare workforce is undercompensated, has high turnover, and includes substantial informal labor that wouldn't transfer cleanly into a formalized system.</w:t>
            </w:r>
          </w:p>
          <w:p>
            <w:pPr>
              <w:spacing w:after="100" w:line="280"/>
            </w:pPr>
            <w:r>
              <w:rPr>
                <w:rFonts w:ascii="Georgia" w:cs="Georgia" w:eastAsia="Georgia" w:hAnsi="Georgia"/>
                <w:color w:val="1A1A1A"/>
                <w:sz w:val="21"/>
                <w:szCs w:val="21"/>
              </w:rPr>
              <w:t xml:space="preserve">•  Geographic distribution matters: building workforce capacity in dense urban areas is easier than in rural areas where total labor pool is smaller.</w:t>
            </w:r>
          </w:p>
          <w:p>
            <w:pPr>
              <w:spacing w:after="100" w:line="280"/>
            </w:pPr>
            <w:r>
              <w:rPr>
                <w:rFonts w:ascii="Georgia" w:cs="Georgia" w:eastAsia="Georgia" w:hAnsi="Georgia"/>
                <w:color w:val="1A1A1A"/>
                <w:sz w:val="21"/>
                <w:szCs w:val="21"/>
              </w:rPr>
              <w:t>•  The 12-year buildout assumption in the universal childcare Model may be optimistic for the labor expansion required to reach 85% utilization.</w:t>
            </w:r>
          </w:p>
        </w:tc>
      </w:tr>
    </w:tbl>
    <w:p>
      <w:pPr>
        <w:pStyle w:val="Heading2"/>
        <w:spacing w:after="160" w:before="360"/>
      </w:pPr>
      <w:r>
        <w:rPr>
          <w:rFonts w:ascii="Arial" w:cs="Arial" w:eastAsia="Arial" w:hAnsi="Arial"/>
          <w:b/>
          <w:bCs/>
          <w:color w:val="1F4E78"/>
          <w:sz w:val="28"/>
          <w:szCs w:val="28"/>
        </w:rPr>
        <w:t xml:space="preserve">What Could Mitigate This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Workforce expansion strategy components</w:t>
            </w:r>
          </w:p>
          <w:p>
            <w:pPr>
              <w:spacing w:after="100" w:line="280"/>
            </w:pPr>
            <w:r>
              <w:rPr>
                <w:rFonts w:ascii="Georgia" w:cs="Georgia" w:eastAsia="Georgia" w:hAnsi="Georgia"/>
                <w:color w:val="1A1A1A"/>
                <w:sz w:val="21"/>
                <w:szCs w:val="21"/>
              </w:rPr>
              <w:t xml:space="preserve">•  Realistic timeline: extend the buildout phase to 18 years, with explicit milestones at years 6, 12, and 18. Universal access expands gradually as workforce capacity expands rather than being promised on day one.</w:t>
            </w:r>
          </w:p>
          <w:p>
            <w:pPr>
              <w:spacing w:after="100" w:line="280"/>
            </w:pPr>
            <w:r>
              <w:rPr>
                <w:rFonts w:ascii="Georgia" w:cs="Georgia" w:eastAsia="Georgia" w:hAnsi="Georgia"/>
                <w:color w:val="1A1A1A"/>
                <w:sz w:val="21"/>
                <w:szCs w:val="21"/>
              </w:rPr>
              <w:t xml:space="preserve">•  Training pipeline expansion: federal funding for community college early childhood education programs, accelerated credentialing pathways, and apprenticeship programs that pay trainees while they qualify. This is workforce development, not just compensation.</w:t>
            </w:r>
          </w:p>
          <w:p>
            <w:pPr>
              <w:spacing w:after="100" w:line="280"/>
            </w:pPr>
            <w:r>
              <w:rPr>
                <w:rFonts w:ascii="Georgia" w:cs="Georgia" w:eastAsia="Georgia" w:hAnsi="Georgia"/>
                <w:color w:val="1A1A1A"/>
                <w:sz w:val="21"/>
                <w:szCs w:val="21"/>
              </w:rPr>
              <w:t xml:space="preserve">•  Wage progression structure: starting wages at the platform's wage floor for childcare workers, with structured progression to higher levels as workers gain credentials and experience. This creates career pathways rather than dead-end positions.</w:t>
            </w:r>
          </w:p>
          <w:p>
            <w:pPr>
              <w:spacing w:after="100" w:line="280"/>
            </w:pPr>
            <w:r>
              <w:rPr>
                <w:rFonts w:ascii="Georgia" w:cs="Georgia" w:eastAsia="Georgia" w:hAnsi="Georgia"/>
                <w:color w:val="1A1A1A"/>
                <w:sz w:val="21"/>
                <w:szCs w:val="21"/>
              </w:rPr>
              <w:t xml:space="preserve">•  Existing workforce integration: workers currently in informal childcare arrangements receive credit toward credentials based on documented experience, rather than being required to start from zero.</w:t>
            </w:r>
          </w:p>
          <w:p>
            <w:pPr>
              <w:spacing w:after="100" w:line="280"/>
            </w:pPr>
            <w:r>
              <w:rPr>
                <w:rFonts w:ascii="Georgia" w:cs="Georgia" w:eastAsia="Georgia" w:hAnsi="Georgia"/>
                <w:color w:val="1A1A1A"/>
                <w:sz w:val="21"/>
                <w:szCs w:val="21"/>
              </w:rPr>
              <w:t xml:space="preserve">•  Geographic phase-in: urban areas reach universal access first (where labor pools are larger), followed by suburban areas, with rural areas potentially using hybrid models combining smaller centers with home-based care.</w:t>
            </w:r>
          </w:p>
          <w:p>
            <w:pPr>
              <w:spacing w:after="100" w:line="280"/>
            </w:pPr>
            <w:r>
              <w:rPr>
                <w:rFonts w:ascii="Georgia" w:cs="Georgia" w:eastAsia="Georgia" w:hAnsi="Georgia"/>
                <w:color w:val="1A1A1A"/>
                <w:sz w:val="21"/>
                <w:szCs w:val="21"/>
              </w:rPr>
              <w:t xml:space="preserve">•  Higher-wage occupations adjacent to childcare: teaching assistants, social workers, family services workers — cross-pollination among these occupations expands the available labor pool faster than any single pathway.</w:t>
            </w:r>
          </w:p>
          <w:p>
            <w:pPr>
              <w:spacing w:after="100" w:line="280"/>
            </w:pPr>
            <w:r>
              <w:rPr>
                <w:rFonts w:ascii="Georgia" w:cs="Georgia" w:eastAsia="Georgia" w:hAnsi="Georgia"/>
                <w:color w:val="1A1A1A"/>
                <w:sz w:val="21"/>
                <w:szCs w:val="21"/>
              </w:rPr>
              <w:t xml:space="preserve">•  Immigration policy alignment: deliberate immigration of qualified early childhood educators from countries with strong programs, on visa pathways tied to childcare work specifically. This is politically harder but it's how other countries actually built workforce capacity rapidly.</w:t>
            </w:r>
          </w:p>
        </w:tc>
      </w:tr>
    </w:tbl>
    <w:p>
      <w:pPr>
        <w:pStyle w:val="Heading2"/>
        <w:spacing w:after="160" w:before="360"/>
      </w:pPr>
      <w:r>
        <w:rPr>
          <w:rFonts w:ascii="Arial" w:cs="Arial" w:eastAsia="Arial" w:hAnsi="Arial"/>
          <w:b/>
          <w:bCs/>
          <w:color w:val="1F4E78"/>
          <w:sz w:val="28"/>
          <w:szCs w:val="28"/>
        </w:rPr>
        <w:t xml:space="preserve">What This Means for Platform Promises</w:t>
      </w:r>
    </w:p>
    <w:p>
      <w:pPr>
        <w:spacing w:after="200" w:line="320"/>
        <w:jc w:val="both"/>
      </w:pPr>
      <w:r>
        <w:rPr>
          <w:rFonts w:ascii="Georgia" w:cs="Georgia" w:eastAsia="Georgia" w:hAnsi="Georgia"/>
          <w:color w:val="1A1A1A"/>
          <w:sz w:val="22"/>
          <w:szCs w:val="22"/>
        </w:rPr>
        <w:t xml:space="preserve">The platform's existing documents may overstate what's deliverable in 12 years. An honest revision should articulate that universal childcare access reaches a partial utilization rate (perhaps 60%) by Year 12 and full 85% utilization by Year 18-20. This is a significant adjustment, but it reflects what's actually achievable given workforce constraints.</w:t>
      </w:r>
    </w:p>
    <w:p>
      <w:pPr>
        <w:spacing w:after="200" w:line="320"/>
        <w:jc w:val="both"/>
      </w:pPr>
      <w:r>
        <w:rPr>
          <w:rFonts w:ascii="Georgia" w:cs="Georgia" w:eastAsia="Georgia" w:hAnsi="Georgia"/>
          <w:color w:val="1A1A1A"/>
          <w:sz w:val="22"/>
          <w:szCs w:val="22"/>
        </w:rPr>
        <w:t xml:space="preserve">The honest acknowledgment is important because overpromising on Year 12 access would undermine credibility when the actual outcome is closer to 60% by that point. The platform's broader claims about universal infrastructure depend on the platform meeting its delivery commitments. A more conservative timeline that the platform can actually meet is better than an aggressive timeline that produces apparent failure.</w:t>
      </w:r>
    </w:p>
    <w:p>
      <w:pPr>
        <w:pStyle w:val="Heading2"/>
        <w:spacing w:after="160" w:before="360"/>
      </w:pPr>
      <w:r>
        <w:rPr>
          <w:rFonts w:ascii="Arial" w:cs="Arial" w:eastAsia="Arial" w:hAnsi="Arial"/>
          <w:b/>
          <w:bCs/>
          <w:color w:val="1F4E78"/>
          <w:sz w:val="28"/>
          <w:szCs w:val="28"/>
        </w:rPr>
        <w:t xml:space="preserve">What Remains Unresolved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Real constraints the platform cannot fully solve</w:t>
            </w:r>
          </w:p>
          <w:p>
            <w:pPr>
              <w:spacing w:after="100" w:line="280"/>
            </w:pPr>
            <w:r>
              <w:rPr>
                <w:rFonts w:ascii="Georgia" w:cs="Georgia" w:eastAsia="Georgia" w:hAnsi="Georgia"/>
                <w:color w:val="1A1A1A"/>
                <w:sz w:val="21"/>
                <w:szCs w:val="21"/>
              </w:rPr>
              <w:t xml:space="preserve">•  Some Americans will not work in childcare regardless of compensation, working conditions, or training pathways. The labor pool has hard ceilings.</w:t>
            </w:r>
          </w:p>
          <w:p>
            <w:pPr>
              <w:spacing w:after="100" w:line="280"/>
            </w:pPr>
            <w:r>
              <w:rPr>
                <w:rFonts w:ascii="Georgia" w:cs="Georgia" w:eastAsia="Georgia" w:hAnsi="Georgia"/>
                <w:color w:val="1A1A1A"/>
                <w:sz w:val="21"/>
                <w:szCs w:val="21"/>
              </w:rPr>
              <w:t xml:space="preserve">•  Geographic dispersion means rural childcare access will lag urban access for decades. The platform cannot deliver fully equal access in low-density areas.</w:t>
            </w:r>
          </w:p>
          <w:p>
            <w:pPr>
              <w:spacing w:after="100" w:line="280"/>
            </w:pPr>
            <w:r>
              <w:rPr>
                <w:rFonts w:ascii="Georgia" w:cs="Georgia" w:eastAsia="Georgia" w:hAnsi="Georgia"/>
                <w:color w:val="1A1A1A"/>
                <w:sz w:val="21"/>
                <w:szCs w:val="21"/>
              </w:rPr>
              <w:t xml:space="preserve">•  Immigration as a workforce development tool faces political opposition that the platform alone cannot resolve.</w:t>
            </w:r>
          </w:p>
          <w:p>
            <w:pPr>
              <w:spacing w:after="100" w:line="280"/>
            </w:pPr>
            <w:r>
              <w:rPr>
                <w:rFonts w:ascii="Georgia" w:cs="Georgia" w:eastAsia="Georgia" w:hAnsi="Georgia"/>
                <w:color w:val="1A1A1A"/>
                <w:sz w:val="21"/>
                <w:szCs w:val="21"/>
              </w:rPr>
              <w:t xml:space="preserve">•  Cultural attitudes toward formal childcare versus family-based care vary across the country. Some communities will utilize universal access at lower rates than others, by choice. The platform cannot mandate utilization.</w:t>
            </w:r>
          </w:p>
          <w:p>
            <w:pPr>
              <w:spacing w:after="100" w:line="280"/>
            </w:pPr>
            <w:r>
              <w:rPr>
                <w:rFonts w:ascii="Georgia" w:cs="Georgia" w:eastAsia="Georgia" w:hAnsi="Georgia"/>
                <w:color w:val="1A1A1A"/>
                <w:sz w:val="21"/>
                <w:szCs w:val="21"/>
              </w:rPr>
              <w:t xml:space="preserve">•  Quality variation across providers will persist even with universal credentialing. Top-tier programs will remain better than minimum-standard programs.</w:t>
            </w:r>
          </w:p>
        </w:tc>
      </w:tr>
    </w:tbl>
    <w:p>
      <w:pPr>
        <w:pStyle w:val="Heading2"/>
        <w:spacing w:after="160" w:before="360"/>
      </w:pPr>
      <w:r>
        <w:rPr>
          <w:rFonts w:ascii="Arial" w:cs="Arial" w:eastAsia="Arial" w:hAnsi="Arial"/>
          <w:b/>
          <w:bCs/>
          <w:color w:val="1F4E78"/>
          <w:sz w:val="28"/>
          <w:szCs w:val="28"/>
        </w:rPr>
        <w:t xml:space="preserve">Recommended Action</w:t>
      </w:r>
    </w:p>
    <w:p>
      <w:pPr>
        <w:spacing w:after="200" w:line="320"/>
        <w:jc w:val="both"/>
      </w:pPr>
      <w:r>
        <w:rPr>
          <w:rFonts w:ascii="Georgia" w:cs="Georgia" w:eastAsia="Georgia" w:hAnsi="Georgia"/>
          <w:color w:val="1A1A1A"/>
          <w:sz w:val="22"/>
          <w:szCs w:val="22"/>
        </w:rPr>
        <w:t>The universal childcare Model should be revised to use an 18-year buildout phase with explicit milestone targets. The Path to Reality document should be updated to reflect the longer timeline. A new analytical framing document specifically about workforce expansion across the platform (childcare, mental health, healthcare delivery) would address Gemini's concern systematically rather than only for childcare. This document would honestly articulate which pillars are workforce-constrained, what the realistic timelines are, and what mitigation strategies make the timelines more achievable.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“This is the vulnerability the platform should address by revising its own claims rather than by defending them. Twelve years to universal childcare access was always optimistic. Eighteen years is honest and achievable. The platform's credibility depends on meeting its commitments rather than on making them more aggressive than circumstances allow.”</w:t>
            </w:r>
          </w:p>
        </w:tc>
      </w:tr>
    </w:tbl>
    <w:p>
      <w:r>
        <w:br w:type="page"/>
      </w:r>
    </w:p>
    <w:p>
      <w:pPr>
        <w:pStyle w:val="Heading1"/>
        <w:spacing w:after="240" w:before="480"/>
      </w:pPr>
      <w:r>
        <w:rPr>
          <w:rFonts w:ascii="Arial" w:cs="Arial" w:eastAsia="Arial" w:hAnsi="Arial"/>
          <w:b/>
          <w:bCs/>
          <w:color w:val="1F4E78"/>
          <w:sz w:val="36"/>
          <w:szCs w:val="36"/>
        </w:rPr>
        <w:t xml:space="preserve">What the Review Doesn't Address</w:t>
      </w:r>
    </w:p>
    <w:p>
      <w:pPr>
        <w:spacing w:after="240" w:line="340"/>
        <w:jc w:val="both"/>
      </w:pPr>
      <w:r>
        <w:rPr>
          <w:rFonts w:ascii="Georgia" w:cs="Georgia" w:eastAsia="Georgia" w:hAnsi="Georgia"/>
          <w:color w:val="1A1A1A"/>
          <w:sz w:val="24"/>
          <w:szCs w:val="24"/>
        </w:rPr>
        <w:t xml:space="preserve">Gemini's review is substantive but not exhaustive. Several elements of the platform that received significant development effort don't appear in the review's analysis. This isn't a criticism of the review — a four-page review can't address everything in a 32-document package — but it's worth noting what additional substance exists for readers who engage with the platform more deeply.</w:t>
      </w:r>
    </w:p>
    <w:p>
      <w:pPr>
        <w:pStyle w:val="Heading2"/>
        <w:spacing w:after="160" w:before="360"/>
      </w:pPr>
      <w:r>
        <w:rPr>
          <w:rFonts w:ascii="Arial" w:cs="Arial" w:eastAsia="Arial" w:hAnsi="Arial"/>
          <w:b/>
          <w:bCs/>
          <w:color w:val="1F4E78"/>
          <w:sz w:val="28"/>
          <w:szCs w:val="28"/>
        </w:rPr>
        <w:t xml:space="preserve">Compound Benefits Pattern</w:t>
      </w:r>
    </w:p>
    <w:p>
      <w:pPr>
        <w:spacing w:after="200" w:line="320"/>
        <w:jc w:val="both"/>
      </w:pPr>
      <w:r>
        <w:rPr>
          <w:rFonts w:ascii="Georgia" w:cs="Georgia" w:eastAsia="Georgia" w:hAnsi="Georgia"/>
          <w:color w:val="1A1A1A"/>
          <w:sz w:val="22"/>
          <w:szCs w:val="22"/>
        </w:rPr>
        <w:t xml:space="preserve">The platform documents identify five instances of architectural compound benefits: identity theft reduction, retroactive debt retirement, cognitive bandwidth restoration, information transparency for major life decisions, and wage-floor-as-tax-architecture. Each emerged from citizen engagement rather than original design. The pattern itself is part of what makes the platform's architecture defensible: when good architecture produces benefits the designer didn't intend, that's evidence the architecture is sound. Gemini's review doesn't engage with this pattern, which is one of the platform's most distinctive analytical claims.</w:t>
      </w:r>
    </w:p>
    <w:p>
      <w:pPr>
        <w:pStyle w:val="Heading2"/>
        <w:spacing w:after="160" w:before="360"/>
      </w:pPr>
      <w:r>
        <w:rPr>
          <w:rFonts w:ascii="Arial" w:cs="Arial" w:eastAsia="Arial" w:hAnsi="Arial"/>
          <w:b/>
          <w:bCs/>
          <w:color w:val="1F4E78"/>
          <w:sz w:val="28"/>
          <w:szCs w:val="28"/>
        </w:rPr>
        <w:t xml:space="preserve">Wage Floor as Tax Architecture</w:t>
      </w:r>
    </w:p>
    <w:p>
      <w:pPr>
        <w:spacing w:after="200" w:line="320"/>
        <w:jc w:val="both"/>
      </w:pPr>
      <w:r>
        <w:rPr>
          <w:rFonts w:ascii="Georgia" w:cs="Georgia" w:eastAsia="Georgia" w:hAnsi="Georgia"/>
          <w:color w:val="1A1A1A"/>
          <w:sz w:val="22"/>
          <w:szCs w:val="22"/>
        </w:rPr>
        <w:t xml:space="preserve">The 05_Wage_Floors_As_Tax_Architecture.docx document proposes connecting wage floors to federal income tax exemption thresholds, creating a structural alignment of interests across all workers in any wage-floor-covered occupation. This would substantially expand the political coalition for adequate wage floors. Gemini's review doesn't engage with this proposal, which is one of the platform's more innovative architectural ideas. The proposal honestly acknowledges a $380B annual revenue gap that requires modifications to be fiscally viable, so it isn't yet a fully resolved component, but it's substantive enough to warrant discussion.</w:t>
      </w:r>
    </w:p>
    <w:p>
      <w:pPr>
        <w:pStyle w:val="Heading2"/>
        <w:spacing w:after="160" w:before="360"/>
      </w:pPr>
      <w:r>
        <w:rPr>
          <w:rFonts w:ascii="Arial" w:cs="Arial" w:eastAsia="Arial" w:hAnsi="Arial"/>
          <w:b/>
          <w:bCs/>
          <w:color w:val="1F4E78"/>
          <w:sz w:val="28"/>
          <w:szCs w:val="28"/>
        </w:rPr>
        <w:t xml:space="preserve">Path to Reality Implementation Document</w:t>
      </w:r>
    </w:p>
    <w:p>
      <w:pPr>
        <w:spacing w:after="200" w:line="320"/>
        <w:jc w:val="both"/>
      </w:pPr>
      <w:r>
        <w:rPr>
          <w:rFonts w:ascii="Georgia" w:cs="Georgia" w:eastAsia="Georgia" w:hAnsi="Georgia"/>
          <w:color w:val="1A1A1A"/>
          <w:sz w:val="22"/>
          <w:szCs w:val="22"/>
        </w:rPr>
        <w:t xml:space="preserve">The 05_Path_To_Reality.docx document articulates the multi-decade implementation timeline and stakeholder requirements. Gemini's review focuses on the analytical foundation but doesn't engage with the implementation timeline or the political coalition durability requirements. The implementation question — how does the platform actually become operational reality across multiple administrations — may be the most important question the platform faces. Gemini's review identifies several vulnerabilities relevant to implementation but doesn't address the implementation document directly.</w:t>
      </w:r>
    </w:p>
    <w:p>
      <w:pPr>
        <w:pStyle w:val="Heading2"/>
        <w:spacing w:after="160" w:before="360"/>
      </w:pPr>
      <w:r>
        <w:rPr>
          <w:rFonts w:ascii="Arial" w:cs="Arial" w:eastAsia="Arial" w:hAnsi="Arial"/>
          <w:b/>
          <w:bCs/>
          <w:color w:val="1F4E78"/>
          <w:sz w:val="28"/>
          <w:szCs w:val="28"/>
        </w:rPr>
        <w:t xml:space="preserve">What This Means For You Tax Comparison</w:t>
      </w:r>
    </w:p>
    <w:p>
      <w:pPr>
        <w:spacing w:after="200" w:line="320"/>
        <w:jc w:val="both"/>
      </w:pPr>
      <w:r>
        <w:rPr>
          <w:rFonts w:ascii="Georgia" w:cs="Georgia" w:eastAsia="Georgia" w:hAnsi="Georgia"/>
          <w:color w:val="1A1A1A"/>
          <w:sz w:val="22"/>
          <w:szCs w:val="22"/>
        </w:rPr>
        <w:t xml:space="preserve">The 05_What_This_Means_For_You.docx document provides personal-level tax comparisons for typical filer categories across the full income range from $20,000 to $2,000,000. Gemini's review references the unleashing narrative but doesn't engage with this document specifically, which is the platform's most reader-accessible work and the document most likely to convince ordinary citizens that the platform produces personal benefit.</w:t>
      </w:r>
    </w:p>
    <w:p>
      <w:pPr>
        <w:pStyle w:val="Heading2"/>
        <w:spacing w:after="160" w:before="360"/>
      </w:pPr>
      <w:r>
        <w:rPr>
          <w:rFonts w:ascii="Arial" w:cs="Arial" w:eastAsia="Arial" w:hAnsi="Arial"/>
          <w:b/>
          <w:bCs/>
          <w:color w:val="1F4E78"/>
          <w:sz w:val="28"/>
          <w:szCs w:val="28"/>
        </w:rPr>
        <w:t xml:space="preserve">What This Means</w:t>
      </w:r>
    </w:p>
    <w:p>
      <w:pPr>
        <w:spacing w:after="200" w:line="320"/>
        <w:jc w:val="both"/>
      </w:pPr>
      <w:r>
        <w:rPr>
          <w:rFonts w:ascii="Georgia" w:cs="Georgia" w:eastAsia="Georgia" w:hAnsi="Georgia"/>
          <w:color w:val="1A1A1A"/>
          <w:sz w:val="22"/>
          <w:szCs w:val="22"/>
        </w:rPr>
        <w:t xml:space="preserve">The omissions don't undermine Gemini's review — high-level reviews can't be exhaustive. But they suggest that subsequent reviews (whether AI or human) would benefit from being directed to specific elements of the package rather than the package as a whole. A reviewer focused on the wage floor tax architecture proposal would produce different insights than a reviewer focused on the Sovereign Fund governance question. The platform's analytical depth means that effective external review benefits from focused attention on specific components.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Future external reviews should be encouraged to focus on specific components rather than attempt comprehensive coverage. The package is too large for any single review to exhaust, and component-level reviews will produce more actionable insights than comprehensive reviews can.</w:t>
            </w:r>
          </w:p>
        </w:tc>
      </w:tr>
    </w:tbl>
    <w:p>
      <w:r>
        <w:br w:type="page"/>
      </w:r>
    </w:p>
    <w:p>
      <w:pPr>
        <w:pStyle w:val="Heading1"/>
        <w:spacing w:after="240" w:before="480"/>
      </w:pPr>
      <w:r>
        <w:rPr>
          <w:rFonts w:ascii="Arial" w:cs="Arial" w:eastAsia="Arial" w:hAnsi="Arial"/>
          <w:b/>
          <w:bCs/>
          <w:color w:val="1F4E78"/>
          <w:sz w:val="36"/>
          <w:szCs w:val="36"/>
        </w:rPr>
        <w:t xml:space="preserve">What This Review Should Produce</w:t>
      </w:r>
    </w:p>
    <w:p>
      <w:pPr>
        <w:spacing w:after="240" w:line="340"/>
        <w:jc w:val="both"/>
      </w:pPr>
      <w:r>
        <w:rPr>
          <w:rFonts w:ascii="Georgia" w:cs="Georgia" w:eastAsia="Georgia" w:hAnsi="Georgia"/>
          <w:color w:val="1A1A1A"/>
          <w:sz w:val="24"/>
          <w:szCs w:val="24"/>
        </w:rPr>
        <w:t xml:space="preserve">External review is only valuable if it produces refinement. This section articulates what subsequent platform versions should include in response to Gemini's review, distinguishing between work that's feasible within the platform's existing analytical scaffolding and work that requires capabilities the platform doesn't currently have.</w:t>
      </w:r>
    </w:p>
    <w:p>
      <w:pPr>
        <w:pStyle w:val="Heading2"/>
        <w:spacing w:after="160" w:before="360"/>
      </w:pPr>
      <w:r>
        <w:rPr>
          <w:rFonts w:ascii="Arial" w:cs="Arial" w:eastAsia="Arial" w:hAnsi="Arial"/>
          <w:b/>
          <w:bCs/>
          <w:color w:val="1F4E78"/>
          <w:sz w:val="28"/>
          <w:szCs w:val="28"/>
        </w:rPr>
        <w:t xml:space="preserve">Work the Platform Should Add in Response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Documents and models to develop</w:t>
            </w:r>
          </w:p>
          <w:p>
            <w:pPr>
              <w:spacing w:after="100" w:line="280"/>
            </w:pPr>
            <w:r>
              <w:rPr>
                <w:rFonts w:ascii="Georgia" w:cs="Georgia" w:eastAsia="Georgia" w:hAnsi="Georgia"/>
                <w:color w:val="1A1A1A"/>
                <w:sz w:val="21"/>
                <w:szCs w:val="21"/>
              </w:rPr>
              <w:t xml:space="preserve">•  Sovereign Fund Governance Design document: detailed multi-layer governance architecture with passive indexing default, split fund structure, distributed voting rights, supermajority change requirements, and transparent reporting.</w:t>
            </w:r>
          </w:p>
          <w:p>
            <w:pPr>
              <w:spacing w:after="100" w:line="280"/>
            </w:pPr>
            <w:r>
              <w:rPr>
                <w:rFonts w:ascii="Georgia" w:cs="Georgia" w:eastAsia="Georgia" w:hAnsi="Georgia"/>
                <w:color w:val="1A1A1A"/>
                <w:sz w:val="21"/>
                <w:szCs w:val="21"/>
              </w:rPr>
              <w:t xml:space="preserve">•  Healthcare Transition Detailed Plan document: phased savings approach (15-year glide path), rural hospital protection mechanism, administrative worker transition program, and specialist practice transition design.</w:t>
            </w:r>
          </w:p>
          <w:p>
            <w:pPr>
              <w:spacing w:after="100" w:line="280"/>
            </w:pPr>
            <w:r>
              <w:rPr>
                <w:rFonts w:ascii="Georgia" w:cs="Georgia" w:eastAsia="Georgia" w:hAnsi="Georgia"/>
                <w:color w:val="1A1A1A"/>
                <w:sz w:val="21"/>
                <w:szCs w:val="21"/>
              </w:rPr>
              <w:t xml:space="preserve">•  Stress-Test Scenarios in Combined Reform Model: lost decade, early crash, stagflation, demographic shock, and compound crisis scenarios with explicit visualization.</w:t>
            </w:r>
          </w:p>
          <w:p>
            <w:pPr>
              <w:spacing w:after="100" w:line="280"/>
            </w:pPr>
            <w:r>
              <w:rPr>
                <w:rFonts w:ascii="Georgia" w:cs="Georgia" w:eastAsia="Georgia" w:hAnsi="Georgia"/>
                <w:color w:val="1A1A1A"/>
                <w:sz w:val="21"/>
                <w:szCs w:val="21"/>
              </w:rPr>
              <w:t xml:space="preserve">•  Workforce Expansion Strategy document: realistic timelines for childcare, mental health, and healthcare delivery workforce buildouts; training pipeline expansion plans; integration of existing informal workforce; geographic phase-in design.</w:t>
            </w:r>
          </w:p>
          <w:p>
            <w:pPr>
              <w:spacing w:after="100" w:line="280"/>
            </w:pPr>
            <w:r>
              <w:rPr>
                <w:rFonts w:ascii="Georgia" w:cs="Georgia" w:eastAsia="Georgia" w:hAnsi="Georgia"/>
                <w:color w:val="1A1A1A"/>
                <w:sz w:val="21"/>
                <w:szCs w:val="21"/>
              </w:rPr>
              <w:t>•  universal childcare Model revision: 18-year buildout with explicit milestone targets at years 6, 12, and 18.</w:t>
            </w:r>
          </w:p>
          <w:p>
            <w:pPr>
              <w:spacing w:after="100" w:line="280"/>
            </w:pPr>
            <w:r>
              <w:rPr>
                <w:rFonts w:ascii="Georgia" w:cs="Georgia" w:eastAsia="Georgia" w:hAnsi="Georgia"/>
                <w:color w:val="1A1A1A"/>
                <w:sz w:val="21"/>
                <w:szCs w:val="21"/>
              </w:rPr>
              <w:t xml:space="preserve">•  Buffer Fund and Variable Disbursement Rate document: mechanism design for protecting the Sovereign Fund against sequence-of-returns risk during transition.</w:t>
            </w:r>
          </w:p>
        </w:tc>
      </w:tr>
    </w:tbl>
    <w:p>
      <w:pPr>
        <w:pStyle w:val="Heading2"/>
        <w:spacing w:after="160" w:before="360"/>
      </w:pPr>
      <w:r>
        <w:rPr>
          <w:rFonts w:ascii="Arial" w:cs="Arial" w:eastAsia="Arial" w:hAnsi="Arial"/>
          <w:b/>
          <w:bCs/>
          <w:color w:val="1F4E78"/>
          <w:sz w:val="28"/>
          <w:szCs w:val="28"/>
        </w:rPr>
        <w:t xml:space="preserve">Work That Requires External Capabilities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the platform alone cannot deliver</w:t>
            </w:r>
          </w:p>
          <w:p>
            <w:pPr>
              <w:spacing w:after="100" w:line="280"/>
            </w:pPr>
            <w:r>
              <w:rPr>
                <w:rFonts w:ascii="Georgia" w:cs="Georgia" w:eastAsia="Georgia" w:hAnsi="Georgia"/>
                <w:color w:val="1A1A1A"/>
                <w:sz w:val="21"/>
                <w:szCs w:val="21"/>
              </w:rPr>
              <w:t xml:space="preserve">•  Constitutional protection for the Sovereign Fund: requires Article V process or constitutional convention.</w:t>
            </w:r>
          </w:p>
          <w:p>
            <w:pPr>
              <w:spacing w:after="100" w:line="280"/>
            </w:pPr>
            <w:r>
              <w:rPr>
                <w:rFonts w:ascii="Georgia" w:cs="Georgia" w:eastAsia="Georgia" w:hAnsi="Georgia"/>
                <w:color w:val="1A1A1A"/>
                <w:sz w:val="21"/>
                <w:szCs w:val="21"/>
              </w:rPr>
              <w:t xml:space="preserve">•  International coordination on pharmaceutical pricing: requires diplomatic negotiation.</w:t>
            </w:r>
          </w:p>
          <w:p>
            <w:pPr>
              <w:spacing w:after="100" w:line="280"/>
            </w:pPr>
            <w:r>
              <w:rPr>
                <w:rFonts w:ascii="Georgia" w:cs="Georgia" w:eastAsia="Georgia" w:hAnsi="Georgia"/>
                <w:color w:val="1A1A1A"/>
                <w:sz w:val="21"/>
                <w:szCs w:val="21"/>
              </w:rPr>
              <w:t xml:space="preserve">•  Immigration policy alignment for childcare workforce: requires political coalition support that extends beyond the platform.</w:t>
            </w:r>
          </w:p>
          <w:p>
            <w:pPr>
              <w:spacing w:after="100" w:line="280"/>
            </w:pPr>
            <w:r>
              <w:rPr>
                <w:rFonts w:ascii="Georgia" w:cs="Georgia" w:eastAsia="Georgia" w:hAnsi="Georgia"/>
                <w:color w:val="1A1A1A"/>
                <w:sz w:val="21"/>
                <w:szCs w:val="21"/>
              </w:rPr>
              <w:t xml:space="preserve">•  Political coalition strong enough to overcome medical lobby opposition: requires sustained organizing across multiple election cycles.</w:t>
            </w:r>
          </w:p>
          <w:p>
            <w:pPr>
              <w:spacing w:after="100" w:line="280"/>
            </w:pPr>
            <w:r>
              <w:rPr>
                <w:rFonts w:ascii="Georgia" w:cs="Georgia" w:eastAsia="Georgia" w:hAnsi="Georgia"/>
                <w:color w:val="1A1A1A"/>
                <w:sz w:val="21"/>
                <w:szCs w:val="21"/>
              </w:rPr>
              <w:t xml:space="preserve">•  Cultural change that supports formal childcare utilization: occurs through generational shift rather than policy design.</w:t>
            </w:r>
          </w:p>
        </w:tc>
      </w:tr>
    </w:tbl>
    <w:p>
      <w:pPr>
        <w:pStyle w:val="Heading2"/>
        <w:spacing w:after="160" w:before="360"/>
      </w:pPr>
      <w:r>
        <w:rPr>
          <w:rFonts w:ascii="Arial" w:cs="Arial" w:eastAsia="Arial" w:hAnsi="Arial"/>
          <w:b/>
          <w:bCs/>
          <w:color w:val="1F4E78"/>
          <w:sz w:val="28"/>
          <w:szCs w:val="28"/>
        </w:rPr>
        <w:t xml:space="preserve">Honest Acknowledgment</w:t>
      </w:r>
    </w:p>
    <w:p>
      <w:pPr>
        <w:spacing w:after="200" w:line="320"/>
        <w:jc w:val="both"/>
      </w:pPr>
      <w:r>
        <w:rPr>
          <w:rFonts w:ascii="Georgia" w:cs="Georgia" w:eastAsia="Georgia" w:hAnsi="Georgia"/>
          <w:color w:val="1A1A1A"/>
          <w:sz w:val="22"/>
          <w:szCs w:val="22"/>
        </w:rPr>
        <w:t xml:space="preserve">The platform should be honest that some of Gemini's vulnerabilities cannot be fully addressed through additional documents and models. The platform produces analytical scaffolding for political and operational work that other people will have to do. The work the platform can add in response — governance design, transition plans, stress-test scenarios, workforce expansion strategies — makes the platform more defensible against substantive critique. But the work the platform cannot do — constitutional protection, international coordination, political coalition formation — remains the human work that no document can substitute for.</w:t>
      </w:r>
    </w:p>
    <w:p>
      <w:pPr>
        <w:spacing w:after="200" w:line="320"/>
        <w:jc w:val="both"/>
      </w:pPr>
      <w:r>
        <w:rPr>
          <w:rFonts w:ascii="Georgia" w:cs="Georgia" w:eastAsia="Georgia" w:hAnsi="Georgia"/>
          <w:color w:val="1A1A1A"/>
          <w:sz w:val="22"/>
          <w:szCs w:val="22"/>
        </w:rPr>
        <w:t xml:space="preserve">This pattern was already articulated in 05_Path_To_Reality.docx: the platform provides the framework within which detailed political and operational work happens, not the detailed work itself. Gemini's review surfaces specific instances of this pattern. The platform's response should incorporate the analytical work where feasible while acknowledging the political and operational work that remains.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“Gemini's review identifies vulnerabilities the platform can partially address through additional analytical work and vulnerabilities the platform must navigate through political and operational work that no document can perform. The honest response is to do the analytical work that's feasible and acknowledge the political work that isn't.”</w:t>
            </w:r>
          </w:p>
        </w:tc>
      </w:tr>
    </w:tbl>
    <w:p>
      <w:r>
        <w:br w:type="page"/>
      </w:r>
    </w:p>
    <w:p>
      <w:pPr>
        <w:pStyle w:val="Heading1"/>
        <w:spacing w:after="240" w:before="480"/>
      </w:pPr>
      <w:r>
        <w:rPr>
          <w:rFonts w:ascii="Arial" w:cs="Arial" w:eastAsia="Arial" w:hAnsi="Arial"/>
          <w:b/>
          <w:bCs/>
          <w:color w:val="1F4E78"/>
          <w:sz w:val="36"/>
          <w:szCs w:val="36"/>
        </w:rPr>
        <w:t xml:space="preserve">What This Document Establishes</w:t>
      </w:r>
    </w:p>
    <w:p>
      <w:pPr>
        <w:spacing w:after="240" w:line="340"/>
        <w:jc w:val="both"/>
      </w:pPr>
      <w:r>
        <w:rPr>
          <w:rFonts w:ascii="Georgia" w:cs="Georgia" w:eastAsia="Georgia" w:hAnsi="Georgia"/>
          <w:color w:val="1A1A1A"/>
          <w:sz w:val="24"/>
          <w:szCs w:val="24"/>
        </w:rPr>
        <w:t xml:space="preserve">This document is the platform's first response to external review. The pattern it establishes matters for how the platform handles subsequent reviews, regardless of source.</w:t>
      </w:r>
    </w:p>
    <w:p>
      <w:pPr>
        <w:pStyle w:val="Heading2"/>
        <w:spacing w:after="160" w:before="360"/>
      </w:pPr>
      <w:r>
        <w:rPr>
          <w:rFonts w:ascii="Arial" w:cs="Arial" w:eastAsia="Arial" w:hAnsi="Arial"/>
          <w:b/>
          <w:bCs/>
          <w:color w:val="1F4E78"/>
          <w:sz w:val="28"/>
          <w:szCs w:val="28"/>
        </w:rPr>
        <w:t xml:space="preserve">The Response Pattern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How the platform engages with external review</w:t>
            </w:r>
          </w:p>
          <w:p>
            <w:pPr>
              <w:spacing w:after="100" w:line="280"/>
            </w:pPr>
            <w:r>
              <w:rPr>
                <w:rFonts w:ascii="Georgia" w:cs="Georgia" w:eastAsia="Georgia" w:hAnsi="Georgia"/>
                <w:color w:val="1A1A1A"/>
                <w:sz w:val="21"/>
                <w:szCs w:val="21"/>
              </w:rPr>
              <w:t xml:space="preserve">•  Acknowledge what the review got right explicitly, including specific quotes when the framing is more crisp than the platform's own articulation.</w:t>
            </w:r>
          </w:p>
          <w:p>
            <w:pPr>
              <w:spacing w:after="100" w:line="280"/>
            </w:pPr>
            <w:r>
              <w:rPr>
                <w:rFonts w:ascii="Georgia" w:cs="Georgia" w:eastAsia="Georgia" w:hAnsi="Georgia"/>
                <w:color w:val="1A1A1A"/>
                <w:sz w:val="21"/>
                <w:szCs w:val="21"/>
              </w:rPr>
              <w:t xml:space="preserve">•  Engage with each identified vulnerability seriously, distinguishing between what's true, what could mitigate it, and what remains unresolved.</w:t>
            </w:r>
          </w:p>
          <w:p>
            <w:pPr>
              <w:spacing w:after="100" w:line="280"/>
            </w:pPr>
            <w:r>
              <w:rPr>
                <w:rFonts w:ascii="Georgia" w:cs="Georgia" w:eastAsia="Georgia" w:hAnsi="Georgia"/>
                <w:color w:val="1A1A1A"/>
                <w:sz w:val="21"/>
                <w:szCs w:val="21"/>
              </w:rPr>
              <w:t xml:space="preserve">•  Identify additional analytical work the platform should produce in response, with specific deliverables.</w:t>
            </w:r>
          </w:p>
          <w:p>
            <w:pPr>
              <w:spacing w:after="100" w:line="280"/>
            </w:pPr>
            <w:r>
              <w:rPr>
                <w:rFonts w:ascii="Georgia" w:cs="Georgia" w:eastAsia="Georgia" w:hAnsi="Georgia"/>
                <w:color w:val="1A1A1A"/>
                <w:sz w:val="21"/>
                <w:szCs w:val="21"/>
              </w:rPr>
              <w:t xml:space="preserve">•  Acknowledge the political and operational work that no analytical work can substitute for.</w:t>
            </w:r>
          </w:p>
          <w:p>
            <w:pPr>
              <w:spacing w:after="100" w:line="280"/>
            </w:pPr>
            <w:r>
              <w:rPr>
                <w:rFonts w:ascii="Georgia" w:cs="Georgia" w:eastAsia="Georgia" w:hAnsi="Georgia"/>
                <w:color w:val="1A1A1A"/>
                <w:sz w:val="21"/>
                <w:szCs w:val="21"/>
              </w:rPr>
              <w:t xml:space="preserve">•  Note what the review didn't address, both for completeness and to guide future reviewer attention.</w:t>
            </w:r>
          </w:p>
          <w:p>
            <w:pPr>
              <w:spacing w:after="100" w:line="280"/>
            </w:pPr>
            <w:r>
              <w:rPr>
                <w:rFonts w:ascii="Georgia" w:cs="Georgia" w:eastAsia="Georgia" w:hAnsi="Georgia"/>
                <w:color w:val="1A1A1A"/>
                <w:sz w:val="21"/>
                <w:szCs w:val="21"/>
              </w:rPr>
              <w:t xml:space="preserve">•  Document the meta-layer of who reviewed what (with what AI assistance, if any) for provenance transparency.</w:t>
            </w:r>
          </w:p>
        </w:tc>
      </w:tr>
    </w:tbl>
    <w:p>
      <w:pPr>
        <w:pStyle w:val="Heading2"/>
        <w:spacing w:after="160" w:before="360"/>
      </w:pPr>
      <w:r>
        <w:rPr>
          <w:rFonts w:ascii="Arial" w:cs="Arial" w:eastAsia="Arial" w:hAnsi="Arial"/>
          <w:b/>
          <w:bCs/>
          <w:color w:val="1F4E78"/>
          <w:sz w:val="28"/>
          <w:szCs w:val="28"/>
        </w:rPr>
        <w:t xml:space="preserve">Why This Matters</w:t>
      </w:r>
    </w:p>
    <w:p>
      <w:pPr>
        <w:spacing w:after="200" w:line="320"/>
        <w:jc w:val="both"/>
      </w:pPr>
      <w:r>
        <w:rPr>
          <w:rFonts w:ascii="Georgia" w:cs="Georgia" w:eastAsia="Georgia" w:hAnsi="Georgia"/>
          <w:color w:val="1A1A1A"/>
          <w:sz w:val="22"/>
          <w:szCs w:val="22"/>
        </w:rPr>
        <w:t xml:space="preserve">Most policy proposals fail when they encounter substantive critique because they treat critique as opposition rather than as input. The platform's analytical foundation is strong enough to engage with critique as input. Gemini's review identified four real vulnerabilities; this response document identifies twenty specific actions in response. That's the pattern external review should produce: specific actions, not defensive rebuttals.</w:t>
      </w:r>
    </w:p>
    <w:p>
      <w:pPr>
        <w:spacing w:after="200" w:line="320"/>
        <w:jc w:val="both"/>
      </w:pPr>
      <w:r>
        <w:rPr>
          <w:rFonts w:ascii="Georgia" w:cs="Georgia" w:eastAsia="Georgia" w:hAnsi="Georgia"/>
          <w:color w:val="1A1A1A"/>
          <w:sz w:val="22"/>
          <w:szCs w:val="22"/>
        </w:rPr>
        <w:t xml:space="preserve">Subsequent external reviews — whether by other AI systems, by human experts, by think tanks, or by political opponents — should expect the same engagement pattern. The platform's commitment is to take serious critique seriously and to refine in response. This response document is the first instance of that commitment.</w:t>
      </w:r>
    </w:p>
    <w:p>
      <w:pPr>
        <w:pStyle w:val="Heading2"/>
        <w:spacing w:after="160" w:before="360"/>
      </w:pPr>
      <w:r>
        <w:rPr>
          <w:rFonts w:ascii="Arial" w:cs="Arial" w:eastAsia="Arial" w:hAnsi="Arial"/>
          <w:b/>
          <w:bCs/>
          <w:color w:val="1F4E78"/>
          <w:sz w:val="28"/>
          <w:szCs w:val="28"/>
        </w:rPr>
        <w:t xml:space="preserve">Inviting Continued Review</w:t>
      </w:r>
    </w:p>
    <w:p>
      <w:pPr>
        <w:spacing w:after="200" w:line="320"/>
        <w:jc w:val="both"/>
      </w:pPr>
      <w:r>
        <w:rPr>
          <w:rFonts w:ascii="Georgia" w:cs="Georgia" w:eastAsia="Georgia" w:hAnsi="Georgia"/>
          <w:color w:val="1A1A1A"/>
          <w:sz w:val="22"/>
          <w:szCs w:val="22"/>
        </w:rPr>
        <w:t xml:space="preserve">The platform welcomes additional external review. Reviewers who engage with specific components rather than the package as a whole will likely produce more actionable insights. The Sovereign Fund governance design, the wage floor tax architecture proposal, the implementation timeline, and the personal tax comparison document are all specific entry points for focused review. Reviewers from different perspectives — conservative policy professionals, libertarian economists, healthcare industry analysts, education policy experts, labor union strategists — would produce different insights than Gemini's general AI review or Claude's collaborative engagement could produce.</w:t>
      </w:r>
    </w:p>
    <w:p>
      <w:pPr>
        <w:spacing w:after="200" w:line="320"/>
        <w:jc w:val="both"/>
      </w:pPr>
      <w:r>
        <w:rPr>
          <w:rFonts w:ascii="Georgia" w:cs="Georgia" w:eastAsia="Georgia" w:hAnsi="Georgia"/>
          <w:color w:val="1A1A1A"/>
          <w:sz w:val="22"/>
          <w:szCs w:val="22"/>
        </w:rPr>
        <w:t xml:space="preserve">The response pattern this document establishes will continue: acknowledge what's right, engage with what's wrong or incomplete, identify specific work in response, and acknowledge what remains beyond the platform's scope. This is how analytical scaffolding evolves into operational reality.</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“Gemini's review was the first external evaluation. This response document is the first response. Both documents are now part of the platform's record. The pattern they establish matters more than either document alone.”</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Response to Review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Response to External Review — Gemini v1.8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External Review — Gemini Review of v1.8</dc:title>
  <dc:creator>Jason Robertson</dc:creator>
  <cp:lastModifiedBy>Un-named</cp:lastModifiedBy>
  <cp:revision>1</cp:revision>
  <dcterms:created xsi:type="dcterms:W3CDTF">2026-05-04T17:34:05.276Z</dcterms:created>
  <dcterms:modified xsi:type="dcterms:W3CDTF">2026-05-04T17:34:05.294Z</dcterms:modified>
</cp:coreProperties>
</file>

<file path=docProps/custom.xml><?xml version="1.0" encoding="utf-8"?>
<Properties xmlns="http://schemas.openxmlformats.org/officeDocument/2006/custom-properties" xmlns:vt="http://schemas.openxmlformats.org/officeDocument/2006/docPropsVTypes"/>
</file>